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color w:val="000000"/>
          <w:sz w:val="22"/>
          <w:szCs w:val="22"/>
        </w:rPr>
        <w:id w:val="-214040436"/>
        <w:docPartObj>
          <w:docPartGallery w:val="Cover Pages"/>
          <w:docPartUnique/>
        </w:docPartObj>
      </w:sdtPr>
      <w:sdtContent>
        <w:p w14:paraId="0137DC70" w14:textId="5A43E472" w:rsidR="00DE17C5" w:rsidRDefault="00DE17C5">
          <w:pPr>
            <w:rPr>
              <w:rFonts w:ascii="Calibri" w:hAnsi="Calibri" w:cs="Calibri"/>
              <w:color w:val="000000"/>
              <w:sz w:val="22"/>
              <w:szCs w:val="22"/>
            </w:rPr>
          </w:pPr>
          <w:r w:rsidRPr="00DE17C5">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3A964EF0" wp14:editId="335F2DC5">
                    <wp:simplePos x="0" y="0"/>
                    <wp:positionH relativeFrom="page">
                      <wp:align>center</wp:align>
                    </wp:positionH>
                    <wp:positionV relativeFrom="page">
                      <wp:align>center</wp:align>
                    </wp:positionV>
                    <wp:extent cx="1712890" cy="3840480"/>
                    <wp:effectExtent l="0" t="0" r="1270" b="0"/>
                    <wp:wrapNone/>
                    <wp:docPr id="138" name="Text Box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19"/>
                                  <w:gridCol w:w="2391"/>
                                </w:tblGrid>
                                <w:tr w:rsidR="00DE17C5" w14:paraId="3BD23C6C" w14:textId="77777777">
                                  <w:trPr>
                                    <w:jc w:val="center"/>
                                  </w:trPr>
                                  <w:tc>
                                    <w:tcPr>
                                      <w:tcW w:w="2568" w:type="pct"/>
                                      <w:vAlign w:val="center"/>
                                    </w:tcPr>
                                    <w:p w14:paraId="63CFAB36" w14:textId="77777777" w:rsidR="00DE17C5" w:rsidRDefault="00DE17C5">
                                      <w:pPr>
                                        <w:jc w:val="right"/>
                                      </w:pPr>
                                      <w:r>
                                        <w:rPr>
                                          <w:noProof/>
                                        </w:rPr>
                                        <w:drawing>
                                          <wp:inline distT="0" distB="0" distL="0" distR="0" wp14:anchorId="6C6009B8" wp14:editId="3B61DBB8">
                                            <wp:extent cx="3065006" cy="3831336"/>
                                            <wp:effectExtent l="0" t="0" r="2540" b="0"/>
                                            <wp:docPr id="292826988" name="Picture 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0E833C0" w14:textId="2C36D7FB" w:rsidR="00DE17C5" w:rsidRDefault="002061CE">
                                          <w:pPr>
                                            <w:pStyle w:val="NoSpacing"/>
                                            <w:spacing w:line="312" w:lineRule="auto"/>
                                            <w:jc w:val="right"/>
                                            <w:rPr>
                                              <w:caps/>
                                              <w:color w:val="191919" w:themeColor="text1" w:themeTint="E6"/>
                                              <w:sz w:val="72"/>
                                              <w:szCs w:val="72"/>
                                            </w:rPr>
                                          </w:pPr>
                                          <w:r>
                                            <w:rPr>
                                              <w:caps/>
                                              <w:color w:val="191919" w:themeColor="text1" w:themeTint="E6"/>
                                              <w:sz w:val="72"/>
                                              <w:szCs w:val="72"/>
                                            </w:rPr>
                                            <w:t>Intersectional Policy Audit Tool</w:t>
                                          </w:r>
                                        </w:p>
                                      </w:sdtContent>
                                    </w:sdt>
                                    <w:p w14:paraId="57160D43" w14:textId="07535552" w:rsidR="00DE17C5" w:rsidRDefault="00DE17C5">
                                      <w:pPr>
                                        <w:jc w:val="right"/>
                                        <w:rPr>
                                          <w:sz w:val="24"/>
                                        </w:rPr>
                                      </w:pPr>
                                    </w:p>
                                  </w:tc>
                                  <w:tc>
                                    <w:tcPr>
                                      <w:tcW w:w="2432" w:type="pct"/>
                                      <w:vAlign w:val="center"/>
                                    </w:tcPr>
                                    <w:p w14:paraId="0407AC3E" w14:textId="7BA2B828" w:rsidR="00DE17C5" w:rsidRDefault="00DE17C5">
                                      <w:pPr>
                                        <w:pStyle w:val="NoSpacing"/>
                                        <w:rPr>
                                          <w:caps/>
                                          <w:color w:val="ED7D31" w:themeColor="accent2"/>
                                          <w:sz w:val="26"/>
                                          <w:szCs w:val="26"/>
                                        </w:rPr>
                                      </w:pPr>
                                      <w:r>
                                        <w:rPr>
                                          <w:caps/>
                                          <w:color w:val="ED7D31" w:themeColor="accent2"/>
                                          <w:sz w:val="26"/>
                                          <w:szCs w:val="26"/>
                                        </w:rPr>
                                        <w:t>introduction</w:t>
                                      </w:r>
                                    </w:p>
                                    <w:sdt>
                                      <w:sdtPr>
                                        <w:rPr>
                                          <w:rFonts w:ascii="Calibri" w:hAnsi="Calibri" w:cs="Calibri"/>
                                          <w:color w:val="000000"/>
                                          <w:sz w:val="24"/>
                                        </w:rPr>
                                        <w:alias w:val="Abstract"/>
                                        <w:tag w:val=""/>
                                        <w:id w:val="-2036181933"/>
                                        <w:dataBinding w:prefixMappings="xmlns:ns0='http://schemas.microsoft.com/office/2006/coverPageProps' " w:xpath="/ns0:CoverPageProperties[1]/ns0:Abstract[1]" w:storeItemID="{55AF091B-3C7A-41E3-B477-F2FDAA23CFDA}"/>
                                        <w:text/>
                                      </w:sdtPr>
                                      <w:sdtContent>
                                        <w:p w14:paraId="35678564" w14:textId="06B476E7" w:rsidR="00DE17C5" w:rsidRPr="00267E72" w:rsidRDefault="00DE17C5">
                                          <w:r w:rsidRPr="00267E72">
                                            <w:rPr>
                                              <w:rFonts w:ascii="Calibri" w:hAnsi="Calibri" w:cs="Calibri"/>
                                              <w:color w:val="000000"/>
                                              <w:sz w:val="24"/>
                                            </w:rPr>
                                            <w:t xml:space="preserve">This rubric is designed to assess university research-related guidelines, processes, and policies through an intersectional lens, evaluating their alignment with </w:t>
                                          </w:r>
                                          <w:r w:rsidR="00835F82">
                                            <w:rPr>
                                              <w:rFonts w:ascii="Calibri" w:hAnsi="Calibri" w:cs="Calibri"/>
                                              <w:color w:val="000000"/>
                                              <w:sz w:val="24"/>
                                            </w:rPr>
                                            <w:t>7</w:t>
                                          </w:r>
                                          <w:r w:rsidRPr="00267E72">
                                            <w:rPr>
                                              <w:rFonts w:ascii="Calibri" w:hAnsi="Calibri" w:cs="Calibri"/>
                                              <w:color w:val="000000"/>
                                              <w:sz w:val="24"/>
                                            </w:rPr>
                                            <w:t xml:space="preserve"> principles identified by the A.C.E. (O’Meara et al., 2022) and including an Intersectionality-Based Policy Analysis (IBPA) Framework (</w:t>
                                          </w:r>
                                          <w:proofErr w:type="spellStart"/>
                                          <w:r w:rsidRPr="00267E72">
                                            <w:rPr>
                                              <w:rFonts w:ascii="Calibri" w:hAnsi="Calibri" w:cs="Calibri"/>
                                              <w:color w:val="000000"/>
                                              <w:sz w:val="24"/>
                                            </w:rPr>
                                            <w:t>Hankivsky</w:t>
                                          </w:r>
                                          <w:proofErr w:type="spellEnd"/>
                                          <w:r w:rsidRPr="00267E72">
                                            <w:rPr>
                                              <w:rFonts w:ascii="Calibri" w:hAnsi="Calibri" w:cs="Calibri"/>
                                              <w:color w:val="000000"/>
                                              <w:sz w:val="24"/>
                                            </w:rPr>
                                            <w:t xml:space="preserve"> et al., 2014) to ensure the benefits, impact, and accountability are not creating unintended harm, exacerbating invisibilities, or privileging specific vectors of power (Hull et al., 2023).  This checklist is for evaluating policies to ensure that they promote fairness, openness, inclusivity, and recognize the complexities of intersecting identities within the academic community.</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5F751003" w14:textId="02E84C36" w:rsidR="00DE17C5" w:rsidRDefault="00DE17C5">
                                          <w:pPr>
                                            <w:pStyle w:val="NoSpacing"/>
                                            <w:rPr>
                                              <w:color w:val="ED7D31" w:themeColor="accent2"/>
                                              <w:sz w:val="26"/>
                                              <w:szCs w:val="26"/>
                                            </w:rPr>
                                          </w:pPr>
                                          <w:r>
                                            <w:rPr>
                                              <w:color w:val="ED7D31" w:themeColor="accent2"/>
                                              <w:sz w:val="26"/>
                                              <w:szCs w:val="26"/>
                                            </w:rPr>
                                            <w:t>Project CREST</w:t>
                                          </w:r>
                                        </w:p>
                                      </w:sdtContent>
                                    </w:sdt>
                                    <w:p w14:paraId="7A1EC15D" w14:textId="77777777" w:rsidR="006C0931" w:rsidRDefault="006C0931">
                                      <w:pPr>
                                        <w:pStyle w:val="NoSpacing"/>
                                      </w:pPr>
                                    </w:p>
                                    <w:p w14:paraId="28F43642" w14:textId="32080E71" w:rsidR="00DE17C5" w:rsidRDefault="006C0931">
                                      <w:pPr>
                                        <w:pStyle w:val="NoSpacing"/>
                                      </w:pPr>
                                      <w:r w:rsidRPr="006C0931">
                                        <w:t xml:space="preserve">Suggested citation: Smith, J. L., Mendez, S., Skop, E., Poe, J., McNear, K. &amp; Song, H. (2024). UCCS Intersectional Policy Audit Tool. University of Colorado </w:t>
                                      </w:r>
                                      <w:proofErr w:type="spellStart"/>
                                      <w:r w:rsidRPr="006C0931">
                                        <w:t>Colorado</w:t>
                                      </w:r>
                                      <w:proofErr w:type="spellEnd"/>
                                      <w:r w:rsidRPr="006C0931">
                                        <w:t xml:space="preserve"> Springs.</w:t>
                                      </w:r>
                                    </w:p>
                                  </w:tc>
                                </w:tr>
                              </w:tbl>
                              <w:p w14:paraId="0B64C8CA" w14:textId="77777777" w:rsidR="00DE17C5" w:rsidRDefault="00DE17C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A964EF0" id="_x0000_t202" coordsize="21600,21600" o:spt="202" path="m,l,21600r21600,l21600,xe">
                    <v:stroke joinstyle="miter"/>
                    <v:path gradientshapeok="t" o:connecttype="rect"/>
                  </v:shapetype>
                  <v:shape id="Text Box 40"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19"/>
                            <w:gridCol w:w="2391"/>
                          </w:tblGrid>
                          <w:tr w:rsidR="00DE17C5" w14:paraId="3BD23C6C" w14:textId="77777777">
                            <w:trPr>
                              <w:jc w:val="center"/>
                            </w:trPr>
                            <w:tc>
                              <w:tcPr>
                                <w:tcW w:w="2568" w:type="pct"/>
                                <w:vAlign w:val="center"/>
                              </w:tcPr>
                              <w:p w14:paraId="63CFAB36" w14:textId="77777777" w:rsidR="00DE17C5" w:rsidRDefault="00DE17C5">
                                <w:pPr>
                                  <w:jc w:val="right"/>
                                </w:pPr>
                                <w:r>
                                  <w:rPr>
                                    <w:noProof/>
                                  </w:rPr>
                                  <w:drawing>
                                    <wp:inline distT="0" distB="0" distL="0" distR="0" wp14:anchorId="6C6009B8" wp14:editId="3B61DBB8">
                                      <wp:extent cx="3065006" cy="3831336"/>
                                      <wp:effectExtent l="0" t="0" r="2540" b="0"/>
                                      <wp:docPr id="292826988" name="Picture 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0E833C0" w14:textId="2C36D7FB" w:rsidR="00DE17C5" w:rsidRDefault="002061CE">
                                    <w:pPr>
                                      <w:pStyle w:val="NoSpacing"/>
                                      <w:spacing w:line="312" w:lineRule="auto"/>
                                      <w:jc w:val="right"/>
                                      <w:rPr>
                                        <w:caps/>
                                        <w:color w:val="191919" w:themeColor="text1" w:themeTint="E6"/>
                                        <w:sz w:val="72"/>
                                        <w:szCs w:val="72"/>
                                      </w:rPr>
                                    </w:pPr>
                                    <w:r>
                                      <w:rPr>
                                        <w:caps/>
                                        <w:color w:val="191919" w:themeColor="text1" w:themeTint="E6"/>
                                        <w:sz w:val="72"/>
                                        <w:szCs w:val="72"/>
                                      </w:rPr>
                                      <w:t>Intersectional Policy Audit Tool</w:t>
                                    </w:r>
                                  </w:p>
                                </w:sdtContent>
                              </w:sdt>
                              <w:p w14:paraId="57160D43" w14:textId="07535552" w:rsidR="00DE17C5" w:rsidRDefault="00DE17C5">
                                <w:pPr>
                                  <w:jc w:val="right"/>
                                  <w:rPr>
                                    <w:sz w:val="24"/>
                                  </w:rPr>
                                </w:pPr>
                              </w:p>
                            </w:tc>
                            <w:tc>
                              <w:tcPr>
                                <w:tcW w:w="2432" w:type="pct"/>
                                <w:vAlign w:val="center"/>
                              </w:tcPr>
                              <w:p w14:paraId="0407AC3E" w14:textId="7BA2B828" w:rsidR="00DE17C5" w:rsidRDefault="00DE17C5">
                                <w:pPr>
                                  <w:pStyle w:val="NoSpacing"/>
                                  <w:rPr>
                                    <w:caps/>
                                    <w:color w:val="ED7D31" w:themeColor="accent2"/>
                                    <w:sz w:val="26"/>
                                    <w:szCs w:val="26"/>
                                  </w:rPr>
                                </w:pPr>
                                <w:r>
                                  <w:rPr>
                                    <w:caps/>
                                    <w:color w:val="ED7D31" w:themeColor="accent2"/>
                                    <w:sz w:val="26"/>
                                    <w:szCs w:val="26"/>
                                  </w:rPr>
                                  <w:t>introduction</w:t>
                                </w:r>
                              </w:p>
                              <w:sdt>
                                <w:sdtPr>
                                  <w:rPr>
                                    <w:rFonts w:ascii="Calibri" w:hAnsi="Calibri" w:cs="Calibri"/>
                                    <w:color w:val="000000"/>
                                    <w:sz w:val="24"/>
                                  </w:rPr>
                                  <w:alias w:val="Abstract"/>
                                  <w:tag w:val=""/>
                                  <w:id w:val="-2036181933"/>
                                  <w:dataBinding w:prefixMappings="xmlns:ns0='http://schemas.microsoft.com/office/2006/coverPageProps' " w:xpath="/ns0:CoverPageProperties[1]/ns0:Abstract[1]" w:storeItemID="{55AF091B-3C7A-41E3-B477-F2FDAA23CFDA}"/>
                                  <w:text/>
                                </w:sdtPr>
                                <w:sdtContent>
                                  <w:p w14:paraId="35678564" w14:textId="06B476E7" w:rsidR="00DE17C5" w:rsidRPr="00267E72" w:rsidRDefault="00DE17C5">
                                    <w:r w:rsidRPr="00267E72">
                                      <w:rPr>
                                        <w:rFonts w:ascii="Calibri" w:hAnsi="Calibri" w:cs="Calibri"/>
                                        <w:color w:val="000000"/>
                                        <w:sz w:val="24"/>
                                      </w:rPr>
                                      <w:t xml:space="preserve">This rubric is designed to assess university research-related guidelines, processes, and policies through an intersectional lens, evaluating their alignment with </w:t>
                                    </w:r>
                                    <w:r w:rsidR="00835F82">
                                      <w:rPr>
                                        <w:rFonts w:ascii="Calibri" w:hAnsi="Calibri" w:cs="Calibri"/>
                                        <w:color w:val="000000"/>
                                        <w:sz w:val="24"/>
                                      </w:rPr>
                                      <w:t>7</w:t>
                                    </w:r>
                                    <w:r w:rsidRPr="00267E72">
                                      <w:rPr>
                                        <w:rFonts w:ascii="Calibri" w:hAnsi="Calibri" w:cs="Calibri"/>
                                        <w:color w:val="000000"/>
                                        <w:sz w:val="24"/>
                                      </w:rPr>
                                      <w:t xml:space="preserve"> principles identified by the A.C.E. (O’Meara et al., 2022) and including an Intersectionality-Based Policy Analysis (IBPA) Framework (</w:t>
                                    </w:r>
                                    <w:proofErr w:type="spellStart"/>
                                    <w:r w:rsidRPr="00267E72">
                                      <w:rPr>
                                        <w:rFonts w:ascii="Calibri" w:hAnsi="Calibri" w:cs="Calibri"/>
                                        <w:color w:val="000000"/>
                                        <w:sz w:val="24"/>
                                      </w:rPr>
                                      <w:t>Hankivsky</w:t>
                                    </w:r>
                                    <w:proofErr w:type="spellEnd"/>
                                    <w:r w:rsidRPr="00267E72">
                                      <w:rPr>
                                        <w:rFonts w:ascii="Calibri" w:hAnsi="Calibri" w:cs="Calibri"/>
                                        <w:color w:val="000000"/>
                                        <w:sz w:val="24"/>
                                      </w:rPr>
                                      <w:t xml:space="preserve"> et al., 2014) to ensure the benefits, impact, and accountability are not creating unintended harm, exacerbating invisibilities, or privileging specific vectors of power (Hull et al., 2023).  This checklist is for evaluating policies to ensure that they promote fairness, openness, inclusivity, and recognize the complexities of intersecting identities within the academic community.</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5F751003" w14:textId="02E84C36" w:rsidR="00DE17C5" w:rsidRDefault="00DE17C5">
                                    <w:pPr>
                                      <w:pStyle w:val="NoSpacing"/>
                                      <w:rPr>
                                        <w:color w:val="ED7D31" w:themeColor="accent2"/>
                                        <w:sz w:val="26"/>
                                        <w:szCs w:val="26"/>
                                      </w:rPr>
                                    </w:pPr>
                                    <w:r>
                                      <w:rPr>
                                        <w:color w:val="ED7D31" w:themeColor="accent2"/>
                                        <w:sz w:val="26"/>
                                        <w:szCs w:val="26"/>
                                      </w:rPr>
                                      <w:t>Project CREST</w:t>
                                    </w:r>
                                  </w:p>
                                </w:sdtContent>
                              </w:sdt>
                              <w:p w14:paraId="7A1EC15D" w14:textId="77777777" w:rsidR="006C0931" w:rsidRDefault="006C0931">
                                <w:pPr>
                                  <w:pStyle w:val="NoSpacing"/>
                                </w:pPr>
                              </w:p>
                              <w:p w14:paraId="28F43642" w14:textId="32080E71" w:rsidR="00DE17C5" w:rsidRDefault="006C0931">
                                <w:pPr>
                                  <w:pStyle w:val="NoSpacing"/>
                                </w:pPr>
                                <w:r w:rsidRPr="006C0931">
                                  <w:t xml:space="preserve">Suggested citation: Smith, J. L., Mendez, S., Skop, E., Poe, J., McNear, K. &amp; Song, H. (2024). UCCS Intersectional Policy Audit Tool. University of Colorado </w:t>
                                </w:r>
                                <w:proofErr w:type="spellStart"/>
                                <w:r w:rsidRPr="006C0931">
                                  <w:t>Colorado</w:t>
                                </w:r>
                                <w:proofErr w:type="spellEnd"/>
                                <w:r w:rsidRPr="006C0931">
                                  <w:t xml:space="preserve"> Springs.</w:t>
                                </w:r>
                              </w:p>
                            </w:tc>
                          </w:tr>
                        </w:tbl>
                        <w:p w14:paraId="0B64C8CA" w14:textId="77777777" w:rsidR="00DE17C5" w:rsidRDefault="00DE17C5"/>
                      </w:txbxContent>
                    </v:textbox>
                    <w10:wrap anchorx="page" anchory="page"/>
                  </v:shape>
                </w:pict>
              </mc:Fallback>
            </mc:AlternateContent>
          </w:r>
          <w:r>
            <w:rPr>
              <w:rFonts w:ascii="Calibri" w:hAnsi="Calibri" w:cs="Calibri"/>
              <w:color w:val="000000"/>
              <w:sz w:val="22"/>
              <w:szCs w:val="22"/>
            </w:rPr>
            <w:br w:type="page"/>
          </w:r>
        </w:p>
      </w:sdtContent>
    </w:sdt>
    <w:p w14:paraId="2DD489C6" w14:textId="77777777" w:rsidR="00DE17C5" w:rsidRDefault="00DE17C5"/>
    <w:tbl>
      <w:tblPr>
        <w:tblW w:w="12145" w:type="dxa"/>
        <w:tblLayout w:type="fixed"/>
        <w:tblLook w:val="04A0" w:firstRow="1" w:lastRow="0" w:firstColumn="1" w:lastColumn="0" w:noHBand="0" w:noVBand="1"/>
      </w:tblPr>
      <w:tblGrid>
        <w:gridCol w:w="495"/>
        <w:gridCol w:w="7060"/>
        <w:gridCol w:w="1080"/>
        <w:gridCol w:w="1350"/>
        <w:gridCol w:w="2160"/>
      </w:tblGrid>
      <w:tr w:rsidR="009C760E" w:rsidRPr="006A39C1" w14:paraId="21B83CFA" w14:textId="6719F630" w:rsidTr="009C760E">
        <w:trPr>
          <w:trHeight w:val="480"/>
        </w:trPr>
        <w:tc>
          <w:tcPr>
            <w:tcW w:w="12145" w:type="dxa"/>
            <w:gridSpan w:val="5"/>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6A066D18" w14:textId="15347702" w:rsidR="009C760E" w:rsidRPr="00924F4C" w:rsidRDefault="009C760E" w:rsidP="006A39C1">
            <w:pPr>
              <w:rPr>
                <w:rFonts w:ascii="Calibri" w:hAnsi="Calibri" w:cs="Calibri"/>
                <w:b/>
                <w:bCs/>
                <w:color w:val="000000"/>
                <w:sz w:val="28"/>
                <w:szCs w:val="28"/>
              </w:rPr>
            </w:pPr>
            <w:r w:rsidRPr="00924F4C">
              <w:rPr>
                <w:rFonts w:ascii="Calibri" w:hAnsi="Calibri" w:cs="Calibri"/>
                <w:b/>
                <w:bCs/>
                <w:color w:val="000000"/>
                <w:sz w:val="28"/>
                <w:szCs w:val="28"/>
              </w:rPr>
              <w:t>Guiding Principles of Equity and Inclusivity</w:t>
            </w:r>
          </w:p>
        </w:tc>
      </w:tr>
      <w:tr w:rsidR="009C760E" w:rsidRPr="006A39C1" w14:paraId="69134E04" w14:textId="139433DF" w:rsidTr="009C760E">
        <w:trPr>
          <w:trHeight w:val="300"/>
        </w:trPr>
        <w:tc>
          <w:tcPr>
            <w:tcW w:w="12145" w:type="dxa"/>
            <w:gridSpan w:val="5"/>
            <w:tcBorders>
              <w:top w:val="nil"/>
              <w:left w:val="single" w:sz="4" w:space="0" w:color="auto"/>
              <w:bottom w:val="single" w:sz="4" w:space="0" w:color="auto"/>
              <w:right w:val="single" w:sz="4" w:space="0" w:color="auto"/>
            </w:tcBorders>
            <w:shd w:val="clear" w:color="auto" w:fill="auto"/>
            <w:noWrap/>
            <w:hideMark/>
          </w:tcPr>
          <w:p w14:paraId="0E0CBCA2" w14:textId="77777777" w:rsidR="009C760E" w:rsidRPr="006A39C1" w:rsidRDefault="009C760E" w:rsidP="006A39C1">
            <w:pPr>
              <w:rPr>
                <w:rFonts w:ascii="Calibri" w:hAnsi="Calibri" w:cs="Calibri"/>
                <w:b/>
                <w:bCs/>
                <w:color w:val="000000"/>
                <w:sz w:val="22"/>
                <w:szCs w:val="22"/>
              </w:rPr>
            </w:pPr>
            <w:r w:rsidRPr="006A39C1">
              <w:rPr>
                <w:rFonts w:ascii="Calibri" w:hAnsi="Calibri" w:cs="Calibri"/>
                <w:b/>
                <w:bCs/>
                <w:color w:val="000000"/>
                <w:sz w:val="22"/>
                <w:szCs w:val="22"/>
              </w:rPr>
              <w:t xml:space="preserve">Score (0 </w:t>
            </w:r>
            <w:r>
              <w:rPr>
                <w:rFonts w:ascii="Calibri" w:hAnsi="Calibri" w:cs="Calibri"/>
                <w:b/>
                <w:bCs/>
                <w:color w:val="000000"/>
                <w:sz w:val="22"/>
                <w:szCs w:val="22"/>
              </w:rPr>
              <w:t>–</w:t>
            </w:r>
            <w:r w:rsidRPr="006A39C1">
              <w:rPr>
                <w:rFonts w:ascii="Calibri" w:hAnsi="Calibri" w:cs="Calibri"/>
                <w:b/>
                <w:bCs/>
                <w:color w:val="000000"/>
                <w:sz w:val="22"/>
                <w:szCs w:val="22"/>
              </w:rPr>
              <w:t xml:space="preserve"> </w:t>
            </w:r>
            <w:r>
              <w:rPr>
                <w:rFonts w:ascii="Calibri" w:hAnsi="Calibri" w:cs="Calibri"/>
                <w:b/>
                <w:bCs/>
                <w:color w:val="000000"/>
                <w:sz w:val="22"/>
                <w:szCs w:val="22"/>
              </w:rPr>
              <w:t>Not Addressed</w:t>
            </w:r>
            <w:r w:rsidRPr="006A39C1">
              <w:rPr>
                <w:rFonts w:ascii="Calibri" w:hAnsi="Calibri" w:cs="Calibri"/>
                <w:b/>
                <w:bCs/>
                <w:color w:val="000000"/>
                <w:sz w:val="22"/>
                <w:szCs w:val="22"/>
              </w:rPr>
              <w:t>, 1 - Addressed but room for improvement, 2 - Fully addressed</w:t>
            </w:r>
            <w:r>
              <w:rPr>
                <w:rFonts w:ascii="Calibri" w:hAnsi="Calibri" w:cs="Calibri"/>
                <w:b/>
                <w:bCs/>
                <w:color w:val="000000"/>
                <w:sz w:val="22"/>
                <w:szCs w:val="22"/>
              </w:rPr>
              <w:t xml:space="preserve"> or N/A not applicable</w:t>
            </w:r>
            <w:r w:rsidRPr="006A39C1">
              <w:rPr>
                <w:rFonts w:ascii="Calibri" w:hAnsi="Calibri" w:cs="Calibri"/>
                <w:b/>
                <w:bCs/>
                <w:color w:val="000000"/>
                <w:sz w:val="22"/>
                <w:szCs w:val="22"/>
              </w:rPr>
              <w:t>)</w:t>
            </w:r>
          </w:p>
          <w:p w14:paraId="3796B90B" w14:textId="19AD5E62" w:rsidR="009C760E" w:rsidRPr="006A39C1" w:rsidRDefault="009C760E" w:rsidP="006A39C1">
            <w:pPr>
              <w:rPr>
                <w:rFonts w:ascii="Calibri" w:hAnsi="Calibri" w:cs="Calibri"/>
                <w:b/>
                <w:bCs/>
                <w:color w:val="000000"/>
                <w:sz w:val="22"/>
                <w:szCs w:val="22"/>
              </w:rPr>
            </w:pPr>
            <w:r w:rsidRPr="006A39C1">
              <w:rPr>
                <w:rFonts w:ascii="Calibri" w:hAnsi="Calibri" w:cs="Calibri"/>
                <w:color w:val="000000"/>
                <w:sz w:val="22"/>
                <w:szCs w:val="22"/>
              </w:rPr>
              <w:t> </w:t>
            </w:r>
          </w:p>
        </w:tc>
      </w:tr>
      <w:tr w:rsidR="009C760E" w:rsidRPr="006A39C1" w14:paraId="4576927D" w14:textId="2C45BC54" w:rsidTr="009C760E">
        <w:trPr>
          <w:trHeight w:val="300"/>
        </w:trPr>
        <w:tc>
          <w:tcPr>
            <w:tcW w:w="49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45F85A4" w14:textId="405F9F64" w:rsidR="009C760E" w:rsidRPr="006A39C1" w:rsidRDefault="009C760E" w:rsidP="006D35C6">
            <w:pPr>
              <w:rPr>
                <w:rFonts w:ascii="Calibri" w:hAnsi="Calibri" w:cs="Calibri"/>
                <w:b/>
                <w:bCs/>
                <w:color w:val="000000"/>
                <w:sz w:val="22"/>
                <w:szCs w:val="22"/>
              </w:rPr>
            </w:pPr>
            <w:r w:rsidRPr="006A39C1">
              <w:rPr>
                <w:rFonts w:ascii="Calibri" w:hAnsi="Calibri" w:cs="Calibri"/>
                <w:b/>
                <w:bCs/>
                <w:color w:val="000000"/>
                <w:sz w:val="22"/>
                <w:szCs w:val="22"/>
              </w:rPr>
              <w:t>1</w:t>
            </w:r>
          </w:p>
        </w:tc>
        <w:tc>
          <w:tcPr>
            <w:tcW w:w="7060" w:type="dxa"/>
            <w:tcBorders>
              <w:top w:val="nil"/>
              <w:left w:val="nil"/>
              <w:bottom w:val="single" w:sz="4" w:space="0" w:color="auto"/>
              <w:right w:val="single" w:sz="4" w:space="0" w:color="auto"/>
            </w:tcBorders>
            <w:shd w:val="clear" w:color="auto" w:fill="E2EFD9" w:themeFill="accent6" w:themeFillTint="33"/>
            <w:vAlign w:val="bottom"/>
            <w:hideMark/>
          </w:tcPr>
          <w:p w14:paraId="1F96CE74" w14:textId="44FF1AF2" w:rsidR="009C760E" w:rsidRPr="006A39C1" w:rsidRDefault="009C760E" w:rsidP="006D35C6">
            <w:pPr>
              <w:rPr>
                <w:rFonts w:ascii="Calibri" w:hAnsi="Calibri" w:cs="Calibri"/>
                <w:b/>
                <w:bCs/>
                <w:color w:val="000000"/>
                <w:sz w:val="22"/>
                <w:szCs w:val="22"/>
              </w:rPr>
            </w:pPr>
            <w:r w:rsidRPr="006A39C1">
              <w:rPr>
                <w:rFonts w:ascii="Calibri" w:hAnsi="Calibri" w:cs="Calibri"/>
                <w:b/>
                <w:bCs/>
                <w:color w:val="000000"/>
                <w:sz w:val="22"/>
                <w:szCs w:val="22"/>
              </w:rPr>
              <w:t>Transparency</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777B04DD" w14:textId="4BBDA5BD" w:rsidR="009C760E" w:rsidRPr="009C760E" w:rsidRDefault="009C760E" w:rsidP="006D35C6">
            <w:pPr>
              <w:rPr>
                <w:rFonts w:ascii="Calibri" w:hAnsi="Calibri" w:cs="Calibri"/>
                <w:b/>
                <w:bCs/>
                <w:color w:val="000000"/>
                <w:sz w:val="22"/>
                <w:szCs w:val="22"/>
              </w:rPr>
            </w:pPr>
            <w:r w:rsidRPr="006A39C1">
              <w:rPr>
                <w:rFonts w:ascii="Calibri" w:hAnsi="Calibri" w:cs="Calibri"/>
                <w:color w:val="000000"/>
                <w:sz w:val="22"/>
                <w:szCs w:val="22"/>
              </w:rPr>
              <w:t> </w:t>
            </w:r>
            <w:r>
              <w:rPr>
                <w:rFonts w:ascii="Calibri" w:hAnsi="Calibri" w:cs="Calibri"/>
                <w:b/>
                <w:bCs/>
                <w:color w:val="000000"/>
                <w:sz w:val="22"/>
                <w:szCs w:val="22"/>
              </w:rPr>
              <w:t>Score</w:t>
            </w:r>
          </w:p>
        </w:tc>
        <w:tc>
          <w:tcPr>
            <w:tcW w:w="1350" w:type="dxa"/>
            <w:tcBorders>
              <w:top w:val="nil"/>
              <w:left w:val="nil"/>
              <w:bottom w:val="single" w:sz="4" w:space="0" w:color="auto"/>
              <w:right w:val="single" w:sz="4" w:space="0" w:color="auto"/>
            </w:tcBorders>
            <w:shd w:val="clear" w:color="auto" w:fill="E2EFD9" w:themeFill="accent6" w:themeFillTint="33"/>
          </w:tcPr>
          <w:p w14:paraId="54B353E6" w14:textId="0423DEA1" w:rsidR="009C760E" w:rsidRPr="009C760E" w:rsidRDefault="009C760E" w:rsidP="006D35C6">
            <w:pPr>
              <w:rPr>
                <w:rFonts w:ascii="Calibri" w:hAnsi="Calibri" w:cs="Calibri"/>
                <w:b/>
                <w:bCs/>
                <w:color w:val="000000"/>
                <w:sz w:val="22"/>
                <w:szCs w:val="22"/>
              </w:rPr>
            </w:pPr>
            <w:r>
              <w:rPr>
                <w:rFonts w:ascii="Calibri" w:hAnsi="Calibri" w:cs="Calibri"/>
                <w:b/>
                <w:bCs/>
                <w:color w:val="000000"/>
                <w:sz w:val="22"/>
                <w:szCs w:val="22"/>
              </w:rPr>
              <w:t>Notes</w:t>
            </w:r>
          </w:p>
        </w:tc>
        <w:tc>
          <w:tcPr>
            <w:tcW w:w="2160" w:type="dxa"/>
            <w:tcBorders>
              <w:top w:val="nil"/>
              <w:left w:val="nil"/>
              <w:bottom w:val="single" w:sz="4" w:space="0" w:color="auto"/>
              <w:right w:val="single" w:sz="4" w:space="0" w:color="auto"/>
            </w:tcBorders>
            <w:shd w:val="clear" w:color="auto" w:fill="E2EFD9" w:themeFill="accent6" w:themeFillTint="33"/>
          </w:tcPr>
          <w:p w14:paraId="0A56BA7C" w14:textId="4352F798" w:rsidR="009C760E" w:rsidRPr="009C760E" w:rsidRDefault="009C760E" w:rsidP="006D35C6">
            <w:pPr>
              <w:rPr>
                <w:rFonts w:ascii="Calibri" w:hAnsi="Calibri" w:cs="Calibri"/>
                <w:b/>
                <w:bCs/>
                <w:color w:val="000000"/>
                <w:sz w:val="22"/>
                <w:szCs w:val="22"/>
              </w:rPr>
            </w:pPr>
            <w:r>
              <w:rPr>
                <w:rFonts w:ascii="Calibri" w:hAnsi="Calibri" w:cs="Calibri"/>
                <w:b/>
                <w:bCs/>
                <w:color w:val="000000"/>
                <w:sz w:val="22"/>
                <w:szCs w:val="22"/>
              </w:rPr>
              <w:t xml:space="preserve">Recommendations </w:t>
            </w:r>
          </w:p>
        </w:tc>
      </w:tr>
      <w:tr w:rsidR="009C760E" w:rsidRPr="006A39C1" w14:paraId="547E81F3" w14:textId="3C3CE3F7"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70DE9727" w14:textId="5CB554E9" w:rsidR="009C760E" w:rsidRPr="006A39C1" w:rsidRDefault="009C760E" w:rsidP="006D35C6">
            <w:pPr>
              <w:jc w:val="right"/>
              <w:rPr>
                <w:rFonts w:ascii="Calibri" w:hAnsi="Calibri" w:cs="Calibri"/>
                <w:b/>
                <w:bCs/>
                <w:color w:val="000000"/>
                <w:sz w:val="22"/>
                <w:szCs w:val="22"/>
              </w:rPr>
            </w:pPr>
            <w:r w:rsidRPr="006A39C1">
              <w:rPr>
                <w:rFonts w:ascii="Calibri" w:hAnsi="Calibri" w:cs="Calibri"/>
                <w:color w:val="000000"/>
                <w:sz w:val="22"/>
                <w:szCs w:val="22"/>
              </w:rPr>
              <w:t>1.1</w:t>
            </w:r>
          </w:p>
        </w:tc>
        <w:tc>
          <w:tcPr>
            <w:tcW w:w="7060" w:type="dxa"/>
            <w:tcBorders>
              <w:top w:val="nil"/>
              <w:left w:val="nil"/>
              <w:bottom w:val="single" w:sz="4" w:space="0" w:color="auto"/>
              <w:right w:val="single" w:sz="4" w:space="0" w:color="auto"/>
            </w:tcBorders>
            <w:shd w:val="clear" w:color="auto" w:fill="auto"/>
            <w:noWrap/>
            <w:vAlign w:val="bottom"/>
          </w:tcPr>
          <w:p w14:paraId="2659B9E4" w14:textId="09B98E55" w:rsidR="009C760E" w:rsidRPr="006A39C1" w:rsidRDefault="009C760E" w:rsidP="006D35C6">
            <w:pPr>
              <w:rPr>
                <w:rFonts w:ascii="Calibri" w:hAnsi="Calibri" w:cs="Calibri"/>
                <w:b/>
                <w:bCs/>
                <w:color w:val="000000"/>
                <w:sz w:val="22"/>
                <w:szCs w:val="22"/>
              </w:rPr>
            </w:pPr>
            <w:r>
              <w:rPr>
                <w:rFonts w:ascii="Calibri" w:hAnsi="Calibri" w:cs="Calibri"/>
                <w:color w:val="auto"/>
                <w:sz w:val="22"/>
                <w:szCs w:val="22"/>
              </w:rPr>
              <w:t>T</w:t>
            </w:r>
            <w:r w:rsidRPr="006A39C1">
              <w:rPr>
                <w:rFonts w:ascii="Calibri" w:hAnsi="Calibri" w:cs="Calibri"/>
                <w:color w:val="auto"/>
                <w:sz w:val="22"/>
                <w:szCs w:val="22"/>
              </w:rPr>
              <w:t xml:space="preserve">he "problem" </w:t>
            </w:r>
            <w:r>
              <w:rPr>
                <w:rFonts w:ascii="Calibri" w:hAnsi="Calibri" w:cs="Calibri"/>
                <w:color w:val="auto"/>
                <w:sz w:val="22"/>
                <w:szCs w:val="22"/>
              </w:rPr>
              <w:t xml:space="preserve">addressed by </w:t>
            </w:r>
            <w:r w:rsidRPr="006A39C1">
              <w:rPr>
                <w:rFonts w:ascii="Calibri" w:hAnsi="Calibri" w:cs="Calibri"/>
                <w:color w:val="auto"/>
                <w:sz w:val="22"/>
                <w:szCs w:val="22"/>
              </w:rPr>
              <w:t xml:space="preserve">the policy, process, or guideline </w:t>
            </w:r>
            <w:r>
              <w:rPr>
                <w:rFonts w:ascii="Calibri" w:hAnsi="Calibri" w:cs="Calibri"/>
                <w:color w:val="auto"/>
                <w:sz w:val="22"/>
                <w:szCs w:val="22"/>
              </w:rPr>
              <w:t xml:space="preserve">is </w:t>
            </w:r>
            <w:r w:rsidRPr="006A39C1">
              <w:rPr>
                <w:rFonts w:ascii="Calibri" w:hAnsi="Calibri" w:cs="Calibri"/>
                <w:color w:val="auto"/>
                <w:sz w:val="22"/>
                <w:szCs w:val="22"/>
              </w:rPr>
              <w:t>clear</w:t>
            </w:r>
            <w:r>
              <w:rPr>
                <w:rFonts w:ascii="Calibri" w:hAnsi="Calibri" w:cs="Calibri"/>
                <w:color w:val="auto"/>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5B3D29EE"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544B8204"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0702480F" w14:textId="77777777" w:rsidR="009C760E" w:rsidRPr="006A39C1" w:rsidRDefault="009C760E" w:rsidP="006D35C6">
            <w:pPr>
              <w:rPr>
                <w:rFonts w:ascii="Calibri" w:hAnsi="Calibri" w:cs="Calibri"/>
                <w:color w:val="000000"/>
                <w:sz w:val="22"/>
                <w:szCs w:val="22"/>
              </w:rPr>
            </w:pPr>
          </w:p>
        </w:tc>
      </w:tr>
      <w:tr w:rsidR="009C760E" w:rsidRPr="006A39C1" w14:paraId="04BB09F7" w14:textId="7D932C4E"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144C3619" w14:textId="6CC5B73C" w:rsidR="009C760E" w:rsidRPr="006A39C1" w:rsidRDefault="009C760E" w:rsidP="006D35C6">
            <w:pPr>
              <w:jc w:val="right"/>
              <w:rPr>
                <w:rFonts w:ascii="Calibri" w:hAnsi="Calibri" w:cs="Calibri"/>
                <w:color w:val="000000"/>
                <w:sz w:val="22"/>
                <w:szCs w:val="22"/>
              </w:rPr>
            </w:pPr>
            <w:r>
              <w:rPr>
                <w:rFonts w:ascii="Calibri" w:hAnsi="Calibri" w:cs="Calibri"/>
                <w:color w:val="000000"/>
                <w:sz w:val="22"/>
                <w:szCs w:val="22"/>
              </w:rPr>
              <w:t>1.2</w:t>
            </w:r>
          </w:p>
        </w:tc>
        <w:tc>
          <w:tcPr>
            <w:tcW w:w="7060" w:type="dxa"/>
            <w:tcBorders>
              <w:top w:val="nil"/>
              <w:left w:val="nil"/>
              <w:bottom w:val="single" w:sz="4" w:space="0" w:color="auto"/>
              <w:right w:val="single" w:sz="4" w:space="0" w:color="auto"/>
            </w:tcBorders>
            <w:shd w:val="clear" w:color="000000" w:fill="FFFFFF"/>
            <w:vAlign w:val="bottom"/>
          </w:tcPr>
          <w:p w14:paraId="4AC4295C" w14:textId="2E96133E" w:rsidR="009C760E" w:rsidRPr="006A39C1" w:rsidRDefault="009C760E" w:rsidP="006D35C6">
            <w:pPr>
              <w:rPr>
                <w:rFonts w:ascii="Calibri" w:hAnsi="Calibri" w:cs="Calibri"/>
                <w:color w:val="auto"/>
                <w:sz w:val="22"/>
                <w:szCs w:val="22"/>
              </w:rPr>
            </w:pPr>
            <w:r>
              <w:rPr>
                <w:rFonts w:ascii="Calibri" w:hAnsi="Calibri" w:cs="Calibri"/>
                <w:color w:val="auto"/>
                <w:sz w:val="22"/>
                <w:szCs w:val="22"/>
              </w:rPr>
              <w:t>The policy provides a workable solution.</w:t>
            </w:r>
          </w:p>
        </w:tc>
        <w:tc>
          <w:tcPr>
            <w:tcW w:w="1080" w:type="dxa"/>
            <w:tcBorders>
              <w:top w:val="nil"/>
              <w:left w:val="nil"/>
              <w:bottom w:val="single" w:sz="4" w:space="0" w:color="auto"/>
              <w:right w:val="single" w:sz="4" w:space="0" w:color="auto"/>
            </w:tcBorders>
            <w:shd w:val="clear" w:color="000000" w:fill="FFFFFF"/>
            <w:noWrap/>
            <w:vAlign w:val="bottom"/>
            <w:hideMark/>
          </w:tcPr>
          <w:p w14:paraId="627384D0"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5C9A4D89"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1217A9C5" w14:textId="77777777" w:rsidR="009C760E" w:rsidRPr="006A39C1" w:rsidRDefault="009C760E" w:rsidP="006D35C6">
            <w:pPr>
              <w:rPr>
                <w:rFonts w:ascii="Calibri" w:hAnsi="Calibri" w:cs="Calibri"/>
                <w:color w:val="000000"/>
                <w:sz w:val="22"/>
                <w:szCs w:val="22"/>
              </w:rPr>
            </w:pPr>
          </w:p>
        </w:tc>
      </w:tr>
      <w:tr w:rsidR="009C760E" w:rsidRPr="006A39C1" w14:paraId="3ECD6CD7" w14:textId="30D8A0BE"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tcPr>
          <w:p w14:paraId="50AF8CF3" w14:textId="1D88ED29"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1.</w:t>
            </w:r>
            <w:r>
              <w:rPr>
                <w:rFonts w:ascii="Calibri" w:hAnsi="Calibri" w:cs="Calibri"/>
                <w:color w:val="000000"/>
                <w:sz w:val="22"/>
                <w:szCs w:val="22"/>
              </w:rPr>
              <w:t>3</w:t>
            </w:r>
          </w:p>
        </w:tc>
        <w:tc>
          <w:tcPr>
            <w:tcW w:w="7060" w:type="dxa"/>
            <w:tcBorders>
              <w:top w:val="nil"/>
              <w:left w:val="nil"/>
              <w:bottom w:val="single" w:sz="4" w:space="0" w:color="auto"/>
              <w:right w:val="single" w:sz="4" w:space="0" w:color="auto"/>
            </w:tcBorders>
            <w:shd w:val="clear" w:color="000000" w:fill="FFFFFF"/>
            <w:vAlign w:val="bottom"/>
          </w:tcPr>
          <w:p w14:paraId="79BF347E" w14:textId="4E6D0C7C" w:rsidR="009C760E" w:rsidRDefault="009C760E" w:rsidP="006D35C6">
            <w:pPr>
              <w:rPr>
                <w:rFonts w:ascii="Calibri" w:hAnsi="Calibri" w:cs="Calibri"/>
                <w:color w:val="auto"/>
                <w:sz w:val="22"/>
                <w:szCs w:val="22"/>
              </w:rPr>
            </w:pPr>
            <w:r>
              <w:rPr>
                <w:rFonts w:ascii="Calibri" w:hAnsi="Calibri" w:cs="Calibri"/>
                <w:color w:val="000000"/>
                <w:sz w:val="22"/>
                <w:szCs w:val="22"/>
              </w:rPr>
              <w:t>T</w:t>
            </w:r>
            <w:r w:rsidRPr="006A39C1">
              <w:rPr>
                <w:rFonts w:ascii="Calibri" w:hAnsi="Calibri" w:cs="Calibri"/>
                <w:color w:val="000000"/>
                <w:sz w:val="22"/>
                <w:szCs w:val="22"/>
              </w:rPr>
              <w:t xml:space="preserve">he title of the policy/process/guideline </w:t>
            </w:r>
            <w:r>
              <w:rPr>
                <w:rFonts w:ascii="Calibri" w:hAnsi="Calibri" w:cs="Calibri"/>
                <w:color w:val="000000"/>
                <w:sz w:val="22"/>
                <w:szCs w:val="22"/>
              </w:rPr>
              <w:t xml:space="preserve">is </w:t>
            </w:r>
            <w:r w:rsidRPr="006A39C1">
              <w:rPr>
                <w:rFonts w:ascii="Calibri" w:hAnsi="Calibri" w:cs="Calibri"/>
                <w:color w:val="000000"/>
                <w:sz w:val="22"/>
                <w:szCs w:val="22"/>
              </w:rPr>
              <w:t>obvious and clear</w:t>
            </w:r>
            <w:r>
              <w:rPr>
                <w:rFonts w:ascii="Calibri" w:hAnsi="Calibri" w:cs="Calibri"/>
                <w:color w:val="000000"/>
                <w:sz w:val="22"/>
                <w:szCs w:val="22"/>
              </w:rPr>
              <w:t>,</w:t>
            </w:r>
            <w:r w:rsidRPr="006A39C1">
              <w:rPr>
                <w:rFonts w:ascii="Calibri" w:hAnsi="Calibri" w:cs="Calibri"/>
                <w:color w:val="000000"/>
                <w:sz w:val="22"/>
                <w:szCs w:val="22"/>
              </w:rPr>
              <w:t xml:space="preserve"> making it easy to find</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000000" w:fill="FFFFFF"/>
            <w:noWrap/>
            <w:vAlign w:val="bottom"/>
          </w:tcPr>
          <w:p w14:paraId="374DCD65" w14:textId="77777777" w:rsidR="009C760E" w:rsidRPr="006A39C1" w:rsidRDefault="009C760E" w:rsidP="006D35C6">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000000" w:fill="FFFFFF"/>
          </w:tcPr>
          <w:p w14:paraId="7E1CDF2B"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019B5904" w14:textId="77777777" w:rsidR="009C760E" w:rsidRPr="006A39C1" w:rsidRDefault="009C760E" w:rsidP="006D35C6">
            <w:pPr>
              <w:rPr>
                <w:rFonts w:ascii="Calibri" w:hAnsi="Calibri" w:cs="Calibri"/>
                <w:color w:val="000000"/>
                <w:sz w:val="22"/>
                <w:szCs w:val="22"/>
              </w:rPr>
            </w:pPr>
          </w:p>
        </w:tc>
      </w:tr>
      <w:tr w:rsidR="009C760E" w:rsidRPr="006A39C1" w14:paraId="788C4955" w14:textId="3FB2A693"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1679F983" w14:textId="5B0AF251"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1.</w:t>
            </w:r>
            <w:r>
              <w:rPr>
                <w:rFonts w:ascii="Calibri" w:hAnsi="Calibri" w:cs="Calibri"/>
                <w:color w:val="000000"/>
                <w:sz w:val="22"/>
                <w:szCs w:val="22"/>
              </w:rPr>
              <w:t>4</w:t>
            </w:r>
          </w:p>
        </w:tc>
        <w:tc>
          <w:tcPr>
            <w:tcW w:w="7060" w:type="dxa"/>
            <w:tcBorders>
              <w:top w:val="nil"/>
              <w:left w:val="nil"/>
              <w:bottom w:val="single" w:sz="4" w:space="0" w:color="auto"/>
              <w:right w:val="single" w:sz="4" w:space="0" w:color="auto"/>
            </w:tcBorders>
            <w:shd w:val="clear" w:color="auto" w:fill="auto"/>
            <w:noWrap/>
            <w:vAlign w:val="bottom"/>
          </w:tcPr>
          <w:p w14:paraId="6065D394" w14:textId="4884DE84"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 xml:space="preserve">he location of the policy </w:t>
            </w:r>
            <w:r>
              <w:rPr>
                <w:rFonts w:ascii="Calibri" w:hAnsi="Calibri" w:cs="Calibri"/>
                <w:color w:val="000000"/>
                <w:sz w:val="22"/>
                <w:szCs w:val="22"/>
              </w:rPr>
              <w:t xml:space="preserve">is </w:t>
            </w:r>
            <w:r w:rsidRPr="006A39C1">
              <w:rPr>
                <w:rFonts w:ascii="Calibri" w:hAnsi="Calibri" w:cs="Calibri"/>
                <w:color w:val="000000"/>
                <w:sz w:val="22"/>
                <w:szCs w:val="22"/>
              </w:rPr>
              <w:t>obvious and clear</w:t>
            </w:r>
            <w:r>
              <w:rPr>
                <w:rFonts w:ascii="Calibri" w:hAnsi="Calibri" w:cs="Calibri"/>
                <w:color w:val="000000"/>
                <w:sz w:val="22"/>
                <w:szCs w:val="22"/>
              </w:rPr>
              <w:t>,</w:t>
            </w:r>
            <w:r w:rsidRPr="006A39C1">
              <w:rPr>
                <w:rFonts w:ascii="Calibri" w:hAnsi="Calibri" w:cs="Calibri"/>
                <w:color w:val="000000"/>
                <w:sz w:val="22"/>
                <w:szCs w:val="22"/>
              </w:rPr>
              <w:t xml:space="preserve"> making it easy to find</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000000" w:fill="FFFFFF"/>
            <w:noWrap/>
            <w:vAlign w:val="bottom"/>
            <w:hideMark/>
          </w:tcPr>
          <w:p w14:paraId="3D72CF6C"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088A68D6"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43AD311E" w14:textId="77777777" w:rsidR="009C760E" w:rsidRPr="006A39C1" w:rsidRDefault="009C760E" w:rsidP="006D35C6">
            <w:pPr>
              <w:rPr>
                <w:rFonts w:ascii="Calibri" w:hAnsi="Calibri" w:cs="Calibri"/>
                <w:color w:val="000000"/>
                <w:sz w:val="22"/>
                <w:szCs w:val="22"/>
              </w:rPr>
            </w:pPr>
          </w:p>
        </w:tc>
      </w:tr>
      <w:tr w:rsidR="009C760E" w:rsidRPr="006A39C1" w14:paraId="4E585169" w14:textId="6642176D"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38E63FAF" w14:textId="473A2A88"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1.</w:t>
            </w:r>
            <w:r>
              <w:rPr>
                <w:rFonts w:ascii="Calibri" w:hAnsi="Calibri" w:cs="Calibri"/>
                <w:color w:val="000000"/>
                <w:sz w:val="22"/>
                <w:szCs w:val="22"/>
              </w:rPr>
              <w:t>5</w:t>
            </w:r>
          </w:p>
        </w:tc>
        <w:tc>
          <w:tcPr>
            <w:tcW w:w="7060" w:type="dxa"/>
            <w:tcBorders>
              <w:top w:val="nil"/>
              <w:left w:val="nil"/>
              <w:bottom w:val="single" w:sz="4" w:space="0" w:color="auto"/>
              <w:right w:val="single" w:sz="4" w:space="0" w:color="auto"/>
            </w:tcBorders>
            <w:shd w:val="clear" w:color="auto" w:fill="auto"/>
            <w:noWrap/>
            <w:vAlign w:val="bottom"/>
          </w:tcPr>
          <w:p w14:paraId="7425F583" w14:textId="2C595641"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L</w:t>
            </w:r>
            <w:r w:rsidRPr="006A39C1">
              <w:rPr>
                <w:rFonts w:ascii="Calibri" w:hAnsi="Calibri" w:cs="Calibri"/>
                <w:color w:val="000000"/>
                <w:sz w:val="22"/>
                <w:szCs w:val="22"/>
              </w:rPr>
              <w:t xml:space="preserve">inks or other referenced material that are part of the policy </w:t>
            </w:r>
            <w:r>
              <w:rPr>
                <w:rFonts w:ascii="Calibri" w:hAnsi="Calibri" w:cs="Calibri"/>
                <w:color w:val="000000"/>
                <w:sz w:val="22"/>
                <w:szCs w:val="22"/>
              </w:rPr>
              <w:t xml:space="preserve">are </w:t>
            </w:r>
            <w:r w:rsidRPr="006A39C1">
              <w:rPr>
                <w:rFonts w:ascii="Calibri" w:hAnsi="Calibri" w:cs="Calibri"/>
                <w:color w:val="000000"/>
                <w:sz w:val="22"/>
                <w:szCs w:val="22"/>
              </w:rPr>
              <w:t>easily accessible</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000000" w:fill="FFFFFF"/>
            <w:noWrap/>
            <w:vAlign w:val="bottom"/>
            <w:hideMark/>
          </w:tcPr>
          <w:p w14:paraId="6F4893BB"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1BDC4594"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10898E09" w14:textId="77777777" w:rsidR="009C760E" w:rsidRPr="006A39C1" w:rsidRDefault="009C760E" w:rsidP="006D35C6">
            <w:pPr>
              <w:rPr>
                <w:rFonts w:ascii="Calibri" w:hAnsi="Calibri" w:cs="Calibri"/>
                <w:color w:val="000000"/>
                <w:sz w:val="22"/>
                <w:szCs w:val="22"/>
              </w:rPr>
            </w:pPr>
          </w:p>
        </w:tc>
      </w:tr>
      <w:tr w:rsidR="009C760E" w:rsidRPr="006A39C1" w14:paraId="172386F3" w14:textId="081AB628"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D381950" w14:textId="166FC464"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 </w:t>
            </w:r>
          </w:p>
        </w:tc>
        <w:tc>
          <w:tcPr>
            <w:tcW w:w="7060" w:type="dxa"/>
            <w:tcBorders>
              <w:top w:val="nil"/>
              <w:left w:val="nil"/>
              <w:bottom w:val="single" w:sz="4" w:space="0" w:color="auto"/>
              <w:right w:val="single" w:sz="4" w:space="0" w:color="auto"/>
            </w:tcBorders>
            <w:shd w:val="clear" w:color="000000" w:fill="FFFFFF"/>
            <w:noWrap/>
            <w:vAlign w:val="bottom"/>
          </w:tcPr>
          <w:p w14:paraId="5C2FE8AE" w14:textId="55B7B711" w:rsidR="009C760E" w:rsidRPr="006A39C1" w:rsidRDefault="009C760E" w:rsidP="006D35C6">
            <w:pP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000000" w:fill="FFFFFF"/>
            <w:noWrap/>
            <w:vAlign w:val="bottom"/>
            <w:hideMark/>
          </w:tcPr>
          <w:p w14:paraId="34FE3427"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1EE29C80"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03CAC991" w14:textId="77777777" w:rsidR="009C760E" w:rsidRPr="006A39C1" w:rsidRDefault="009C760E" w:rsidP="006D35C6">
            <w:pPr>
              <w:rPr>
                <w:rFonts w:ascii="Calibri" w:hAnsi="Calibri" w:cs="Calibri"/>
                <w:color w:val="000000"/>
                <w:sz w:val="22"/>
                <w:szCs w:val="22"/>
              </w:rPr>
            </w:pPr>
          </w:p>
        </w:tc>
      </w:tr>
      <w:tr w:rsidR="009C760E" w:rsidRPr="006A39C1" w14:paraId="12B37B2A" w14:textId="15A37986" w:rsidTr="009C760E">
        <w:trPr>
          <w:trHeight w:val="300"/>
        </w:trPr>
        <w:tc>
          <w:tcPr>
            <w:tcW w:w="49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8FCD665" w14:textId="712FBEE6" w:rsidR="009C760E" w:rsidRPr="006A39C1" w:rsidRDefault="009C760E" w:rsidP="006D35C6">
            <w:pPr>
              <w:rPr>
                <w:rFonts w:ascii="Calibri" w:hAnsi="Calibri" w:cs="Calibri"/>
                <w:color w:val="000000"/>
                <w:sz w:val="22"/>
                <w:szCs w:val="22"/>
              </w:rPr>
            </w:pPr>
            <w:r w:rsidRPr="006A39C1">
              <w:rPr>
                <w:rFonts w:ascii="Calibri" w:hAnsi="Calibri" w:cs="Calibri"/>
                <w:b/>
                <w:bCs/>
                <w:color w:val="000000"/>
                <w:sz w:val="22"/>
                <w:szCs w:val="22"/>
              </w:rPr>
              <w:t>2</w:t>
            </w:r>
          </w:p>
        </w:tc>
        <w:tc>
          <w:tcPr>
            <w:tcW w:w="7060" w:type="dxa"/>
            <w:tcBorders>
              <w:top w:val="nil"/>
              <w:left w:val="nil"/>
              <w:bottom w:val="single" w:sz="4" w:space="0" w:color="auto"/>
              <w:right w:val="single" w:sz="4" w:space="0" w:color="auto"/>
            </w:tcBorders>
            <w:shd w:val="clear" w:color="auto" w:fill="E2EFD9" w:themeFill="accent6" w:themeFillTint="33"/>
            <w:noWrap/>
            <w:vAlign w:val="bottom"/>
            <w:hideMark/>
          </w:tcPr>
          <w:p w14:paraId="26B9AA6C" w14:textId="41CCA8A8" w:rsidR="009C760E" w:rsidRPr="006A39C1" w:rsidRDefault="009C760E" w:rsidP="006D35C6">
            <w:pPr>
              <w:rPr>
                <w:rFonts w:ascii="Calibri" w:hAnsi="Calibri" w:cs="Calibri"/>
                <w:color w:val="000000"/>
                <w:sz w:val="22"/>
                <w:szCs w:val="22"/>
              </w:rPr>
            </w:pPr>
            <w:r w:rsidRPr="006A39C1">
              <w:rPr>
                <w:rFonts w:ascii="Calibri" w:hAnsi="Calibri" w:cs="Calibri"/>
                <w:b/>
                <w:bCs/>
                <w:color w:val="000000"/>
                <w:sz w:val="22"/>
                <w:szCs w:val="22"/>
              </w:rPr>
              <w:t>Clarity</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3BCBC0E2"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E2EFD9" w:themeFill="accent6" w:themeFillTint="33"/>
          </w:tcPr>
          <w:p w14:paraId="21E3C5E4"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E2EFD9" w:themeFill="accent6" w:themeFillTint="33"/>
          </w:tcPr>
          <w:p w14:paraId="3B79C5D9" w14:textId="77777777" w:rsidR="009C760E" w:rsidRPr="006A39C1" w:rsidRDefault="009C760E" w:rsidP="006D35C6">
            <w:pPr>
              <w:rPr>
                <w:rFonts w:ascii="Calibri" w:hAnsi="Calibri" w:cs="Calibri"/>
                <w:color w:val="000000"/>
                <w:sz w:val="22"/>
                <w:szCs w:val="22"/>
              </w:rPr>
            </w:pPr>
          </w:p>
        </w:tc>
      </w:tr>
      <w:tr w:rsidR="009C760E" w:rsidRPr="006A39C1" w14:paraId="45BF5E52" w14:textId="49A7EA33"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0A88C4AA" w14:textId="628FFE5E" w:rsidR="009C760E" w:rsidRPr="006A39C1" w:rsidRDefault="009C760E" w:rsidP="006D35C6">
            <w:pPr>
              <w:jc w:val="right"/>
              <w:rPr>
                <w:rFonts w:ascii="Calibri" w:hAnsi="Calibri" w:cs="Calibri"/>
                <w:b/>
                <w:bCs/>
                <w:color w:val="000000"/>
                <w:sz w:val="22"/>
                <w:szCs w:val="22"/>
              </w:rPr>
            </w:pPr>
            <w:r w:rsidRPr="006A39C1">
              <w:rPr>
                <w:rFonts w:ascii="Calibri" w:hAnsi="Calibri" w:cs="Calibri"/>
                <w:color w:val="000000"/>
                <w:sz w:val="22"/>
                <w:szCs w:val="22"/>
              </w:rPr>
              <w:t>2.1</w:t>
            </w:r>
          </w:p>
        </w:tc>
        <w:tc>
          <w:tcPr>
            <w:tcW w:w="7060" w:type="dxa"/>
            <w:tcBorders>
              <w:top w:val="nil"/>
              <w:left w:val="nil"/>
              <w:bottom w:val="single" w:sz="4" w:space="0" w:color="auto"/>
              <w:right w:val="single" w:sz="4" w:space="0" w:color="auto"/>
            </w:tcBorders>
            <w:shd w:val="clear" w:color="auto" w:fill="auto"/>
            <w:noWrap/>
            <w:vAlign w:val="bottom"/>
          </w:tcPr>
          <w:p w14:paraId="3BED6F65" w14:textId="636F1071" w:rsidR="009C760E" w:rsidRPr="006A39C1" w:rsidRDefault="009C760E" w:rsidP="006D35C6">
            <w:pPr>
              <w:rPr>
                <w:rFonts w:ascii="Calibri" w:hAnsi="Calibri" w:cs="Calibri"/>
                <w:b/>
                <w:bCs/>
                <w:color w:val="000000"/>
                <w:sz w:val="22"/>
                <w:szCs w:val="22"/>
              </w:rPr>
            </w:pPr>
            <w:r w:rsidRPr="006A39C1">
              <w:rPr>
                <w:rFonts w:ascii="Calibri" w:hAnsi="Calibri" w:cs="Calibri"/>
                <w:color w:val="000000"/>
                <w:sz w:val="22"/>
                <w:szCs w:val="22"/>
              </w:rPr>
              <w:t xml:space="preserve">Information </w:t>
            </w:r>
            <w:r>
              <w:rPr>
                <w:rFonts w:ascii="Calibri" w:hAnsi="Calibri" w:cs="Calibri"/>
                <w:color w:val="000000"/>
                <w:sz w:val="22"/>
                <w:szCs w:val="22"/>
              </w:rPr>
              <w:t xml:space="preserve">is </w:t>
            </w:r>
            <w:r w:rsidRPr="006A39C1">
              <w:rPr>
                <w:rFonts w:ascii="Calibri" w:hAnsi="Calibri" w:cs="Calibri"/>
                <w:color w:val="000000"/>
                <w:sz w:val="22"/>
                <w:szCs w:val="22"/>
              </w:rPr>
              <w:t>provided in a way that is easily understood to a wide audience</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1ED75407"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3308AA97"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49D09499" w14:textId="77777777" w:rsidR="009C760E" w:rsidRPr="006A39C1" w:rsidRDefault="009C760E" w:rsidP="006D35C6">
            <w:pPr>
              <w:rPr>
                <w:rFonts w:ascii="Calibri" w:hAnsi="Calibri" w:cs="Calibri"/>
                <w:color w:val="000000"/>
                <w:sz w:val="22"/>
                <w:szCs w:val="22"/>
              </w:rPr>
            </w:pPr>
          </w:p>
        </w:tc>
      </w:tr>
      <w:tr w:rsidR="009C760E" w:rsidRPr="006A39C1" w14:paraId="1780244D" w14:textId="61E184E7"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59923818" w14:textId="26FB9D3B" w:rsidR="009C760E" w:rsidRPr="006A39C1" w:rsidRDefault="009C760E" w:rsidP="006D35C6">
            <w:pPr>
              <w:jc w:val="right"/>
              <w:rPr>
                <w:rFonts w:ascii="Calibri" w:hAnsi="Calibri" w:cs="Calibri"/>
                <w:color w:val="000000"/>
                <w:sz w:val="22"/>
                <w:szCs w:val="22"/>
              </w:rPr>
            </w:pPr>
            <w:r w:rsidRPr="006A39C1">
              <w:rPr>
                <w:rFonts w:ascii="Calibri" w:hAnsi="Calibri" w:cs="Calibri"/>
                <w:color w:val="auto"/>
                <w:sz w:val="22"/>
                <w:szCs w:val="22"/>
              </w:rPr>
              <w:t>2.2</w:t>
            </w:r>
          </w:p>
        </w:tc>
        <w:tc>
          <w:tcPr>
            <w:tcW w:w="7060" w:type="dxa"/>
            <w:tcBorders>
              <w:top w:val="nil"/>
              <w:left w:val="nil"/>
              <w:bottom w:val="single" w:sz="4" w:space="0" w:color="auto"/>
              <w:right w:val="single" w:sz="4" w:space="0" w:color="auto"/>
            </w:tcBorders>
            <w:shd w:val="clear" w:color="000000" w:fill="FFFFFF"/>
            <w:vAlign w:val="bottom"/>
          </w:tcPr>
          <w:p w14:paraId="597ED56C" w14:textId="69BA18D8" w:rsidR="009C760E" w:rsidRPr="006A39C1" w:rsidRDefault="009C760E" w:rsidP="006D35C6">
            <w:pPr>
              <w:rPr>
                <w:rFonts w:ascii="Calibri" w:hAnsi="Calibri" w:cs="Calibri"/>
                <w:color w:val="000000"/>
                <w:sz w:val="22"/>
                <w:szCs w:val="22"/>
              </w:rPr>
            </w:pPr>
            <w:r>
              <w:rPr>
                <w:rFonts w:ascii="Calibri" w:hAnsi="Calibri" w:cs="Calibri"/>
                <w:color w:val="auto"/>
                <w:sz w:val="22"/>
                <w:szCs w:val="22"/>
              </w:rPr>
              <w:t>It is unambiguous and easy to interpret.</w:t>
            </w:r>
          </w:p>
        </w:tc>
        <w:tc>
          <w:tcPr>
            <w:tcW w:w="1080" w:type="dxa"/>
            <w:tcBorders>
              <w:top w:val="nil"/>
              <w:left w:val="nil"/>
              <w:bottom w:val="single" w:sz="4" w:space="0" w:color="auto"/>
              <w:right w:val="single" w:sz="4" w:space="0" w:color="auto"/>
            </w:tcBorders>
            <w:shd w:val="clear" w:color="000000" w:fill="FFFFFF"/>
            <w:noWrap/>
            <w:vAlign w:val="bottom"/>
            <w:hideMark/>
          </w:tcPr>
          <w:p w14:paraId="71CE6EDE"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070C1AA2"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23B46B29" w14:textId="77777777" w:rsidR="009C760E" w:rsidRPr="006A39C1" w:rsidRDefault="009C760E" w:rsidP="006D35C6">
            <w:pPr>
              <w:rPr>
                <w:rFonts w:ascii="Calibri" w:hAnsi="Calibri" w:cs="Calibri"/>
                <w:color w:val="000000"/>
                <w:sz w:val="22"/>
                <w:szCs w:val="22"/>
              </w:rPr>
            </w:pPr>
          </w:p>
        </w:tc>
      </w:tr>
      <w:tr w:rsidR="009C760E" w:rsidRPr="006A39C1" w14:paraId="54D4D6AE" w14:textId="5B7FC42F"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29FD55CC" w14:textId="28FB6088" w:rsidR="009C760E" w:rsidRPr="006A39C1" w:rsidRDefault="009C760E" w:rsidP="006D35C6">
            <w:pPr>
              <w:jc w:val="right"/>
              <w:rPr>
                <w:rFonts w:ascii="Calibri" w:hAnsi="Calibri" w:cs="Calibri"/>
                <w:color w:val="auto"/>
                <w:sz w:val="22"/>
                <w:szCs w:val="22"/>
              </w:rPr>
            </w:pPr>
            <w:r w:rsidRPr="006A39C1">
              <w:rPr>
                <w:rFonts w:ascii="Calibri" w:hAnsi="Calibri" w:cs="Calibri"/>
                <w:color w:val="auto"/>
                <w:sz w:val="22"/>
                <w:szCs w:val="22"/>
              </w:rPr>
              <w:t>2.3</w:t>
            </w:r>
          </w:p>
        </w:tc>
        <w:tc>
          <w:tcPr>
            <w:tcW w:w="7060" w:type="dxa"/>
            <w:tcBorders>
              <w:top w:val="nil"/>
              <w:left w:val="nil"/>
              <w:bottom w:val="single" w:sz="4" w:space="0" w:color="auto"/>
              <w:right w:val="single" w:sz="4" w:space="0" w:color="auto"/>
            </w:tcBorders>
            <w:shd w:val="clear" w:color="000000" w:fill="FFFFFF"/>
            <w:vAlign w:val="center"/>
          </w:tcPr>
          <w:p w14:paraId="76D132F2" w14:textId="65298CAA" w:rsidR="009C760E" w:rsidRPr="006A39C1" w:rsidRDefault="009C760E" w:rsidP="006D35C6">
            <w:pPr>
              <w:rPr>
                <w:rFonts w:ascii="Calibri" w:hAnsi="Calibri" w:cs="Calibri"/>
                <w:color w:val="auto"/>
                <w:sz w:val="22"/>
                <w:szCs w:val="22"/>
              </w:rPr>
            </w:pPr>
            <w:r>
              <w:rPr>
                <w:rFonts w:ascii="Calibri" w:hAnsi="Calibri" w:cs="Calibri"/>
                <w:color w:val="000000"/>
                <w:sz w:val="22"/>
                <w:szCs w:val="22"/>
              </w:rPr>
              <w:t>Th</w:t>
            </w:r>
            <w:r w:rsidRPr="006A39C1">
              <w:rPr>
                <w:rFonts w:ascii="Calibri" w:hAnsi="Calibri" w:cs="Calibri"/>
                <w:color w:val="000000"/>
                <w:sz w:val="22"/>
                <w:szCs w:val="22"/>
              </w:rPr>
              <w:t>e policy/process/guideline contain</w:t>
            </w:r>
            <w:r>
              <w:rPr>
                <w:rFonts w:ascii="Calibri" w:hAnsi="Calibri" w:cs="Calibri"/>
                <w:color w:val="000000"/>
                <w:sz w:val="22"/>
                <w:szCs w:val="22"/>
              </w:rPr>
              <w:t>s</w:t>
            </w:r>
            <w:r w:rsidRPr="006A39C1">
              <w:rPr>
                <w:rFonts w:ascii="Calibri" w:hAnsi="Calibri" w:cs="Calibri"/>
                <w:color w:val="000000"/>
                <w:sz w:val="22"/>
                <w:szCs w:val="22"/>
              </w:rPr>
              <w:t xml:space="preserve"> actionable langu</w:t>
            </w:r>
            <w:r>
              <w:rPr>
                <w:rFonts w:ascii="Calibri" w:hAnsi="Calibri" w:cs="Calibri"/>
                <w:color w:val="000000"/>
                <w:sz w:val="22"/>
                <w:szCs w:val="22"/>
              </w:rPr>
              <w:t>a</w:t>
            </w:r>
            <w:r w:rsidRPr="006A39C1">
              <w:rPr>
                <w:rFonts w:ascii="Calibri" w:hAnsi="Calibri" w:cs="Calibri"/>
                <w:color w:val="000000"/>
                <w:sz w:val="22"/>
                <w:szCs w:val="22"/>
              </w:rPr>
              <w:t>ge</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000000" w:fill="FFFFFF"/>
            <w:noWrap/>
            <w:vAlign w:val="bottom"/>
            <w:hideMark/>
          </w:tcPr>
          <w:p w14:paraId="529C64D3"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55590187"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4F961311" w14:textId="77777777" w:rsidR="009C760E" w:rsidRPr="006A39C1" w:rsidRDefault="009C760E" w:rsidP="006D35C6">
            <w:pPr>
              <w:rPr>
                <w:rFonts w:ascii="Calibri" w:hAnsi="Calibri" w:cs="Calibri"/>
                <w:color w:val="000000"/>
                <w:sz w:val="22"/>
                <w:szCs w:val="22"/>
              </w:rPr>
            </w:pPr>
          </w:p>
        </w:tc>
      </w:tr>
      <w:tr w:rsidR="009C760E" w:rsidRPr="006A39C1" w14:paraId="24885DC0" w14:textId="4B6664C4"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43CBDDC" w14:textId="42F06DB2" w:rsidR="009C760E" w:rsidRPr="006A39C1" w:rsidRDefault="009C760E" w:rsidP="006D35C6">
            <w:pPr>
              <w:jc w:val="right"/>
              <w:rPr>
                <w:rFonts w:ascii="Calibri" w:hAnsi="Calibri" w:cs="Calibri"/>
                <w:color w:val="auto"/>
                <w:sz w:val="22"/>
                <w:szCs w:val="22"/>
              </w:rPr>
            </w:pPr>
            <w:r w:rsidRPr="006A39C1">
              <w:rPr>
                <w:rFonts w:ascii="Calibri" w:hAnsi="Calibri" w:cs="Calibri"/>
                <w:color w:val="000000"/>
                <w:sz w:val="22"/>
                <w:szCs w:val="22"/>
              </w:rPr>
              <w:t> </w:t>
            </w:r>
          </w:p>
        </w:tc>
        <w:tc>
          <w:tcPr>
            <w:tcW w:w="7060" w:type="dxa"/>
            <w:tcBorders>
              <w:top w:val="nil"/>
              <w:left w:val="nil"/>
              <w:bottom w:val="single" w:sz="4" w:space="0" w:color="auto"/>
              <w:right w:val="single" w:sz="4" w:space="0" w:color="auto"/>
            </w:tcBorders>
            <w:shd w:val="clear" w:color="auto" w:fill="auto"/>
            <w:noWrap/>
            <w:vAlign w:val="center"/>
          </w:tcPr>
          <w:p w14:paraId="294C62EF" w14:textId="4A855247" w:rsidR="009C760E" w:rsidRPr="006A39C1" w:rsidRDefault="009C760E" w:rsidP="006D35C6">
            <w:pP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000000" w:fill="FFFFFF"/>
            <w:noWrap/>
            <w:vAlign w:val="bottom"/>
            <w:hideMark/>
          </w:tcPr>
          <w:p w14:paraId="727C45A2"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57F4AF53"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32349B21" w14:textId="77777777" w:rsidR="009C760E" w:rsidRPr="006A39C1" w:rsidRDefault="009C760E" w:rsidP="006D35C6">
            <w:pPr>
              <w:rPr>
                <w:rFonts w:ascii="Calibri" w:hAnsi="Calibri" w:cs="Calibri"/>
                <w:color w:val="000000"/>
                <w:sz w:val="22"/>
                <w:szCs w:val="22"/>
              </w:rPr>
            </w:pPr>
          </w:p>
        </w:tc>
      </w:tr>
      <w:tr w:rsidR="009C760E" w:rsidRPr="006A39C1" w14:paraId="22DE1460" w14:textId="2730185B" w:rsidTr="009C760E">
        <w:trPr>
          <w:trHeight w:val="300"/>
        </w:trPr>
        <w:tc>
          <w:tcPr>
            <w:tcW w:w="49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E815902" w14:textId="38454D8C" w:rsidR="009C760E" w:rsidRPr="006A39C1" w:rsidRDefault="009C760E" w:rsidP="006D35C6">
            <w:pPr>
              <w:rPr>
                <w:rFonts w:ascii="Calibri" w:hAnsi="Calibri" w:cs="Calibri"/>
                <w:color w:val="000000"/>
                <w:sz w:val="22"/>
                <w:szCs w:val="22"/>
              </w:rPr>
            </w:pPr>
            <w:r w:rsidRPr="006A39C1">
              <w:rPr>
                <w:rFonts w:ascii="Calibri" w:hAnsi="Calibri" w:cs="Calibri"/>
                <w:b/>
                <w:bCs/>
                <w:color w:val="000000"/>
                <w:sz w:val="22"/>
                <w:szCs w:val="22"/>
              </w:rPr>
              <w:t>3</w:t>
            </w:r>
          </w:p>
        </w:tc>
        <w:tc>
          <w:tcPr>
            <w:tcW w:w="7060" w:type="dxa"/>
            <w:tcBorders>
              <w:top w:val="nil"/>
              <w:left w:val="nil"/>
              <w:bottom w:val="single" w:sz="4" w:space="0" w:color="auto"/>
              <w:right w:val="single" w:sz="4" w:space="0" w:color="auto"/>
            </w:tcBorders>
            <w:shd w:val="clear" w:color="auto" w:fill="E2EFD9" w:themeFill="accent6" w:themeFillTint="33"/>
            <w:vAlign w:val="bottom"/>
            <w:hideMark/>
          </w:tcPr>
          <w:p w14:paraId="6340556D" w14:textId="16A809C1" w:rsidR="009C760E" w:rsidRPr="006A39C1" w:rsidRDefault="009C760E" w:rsidP="006D35C6">
            <w:pPr>
              <w:rPr>
                <w:rFonts w:ascii="Calibri" w:hAnsi="Calibri" w:cs="Calibri"/>
                <w:color w:val="000000"/>
                <w:sz w:val="22"/>
                <w:szCs w:val="22"/>
              </w:rPr>
            </w:pPr>
            <w:r w:rsidRPr="006A39C1">
              <w:rPr>
                <w:rFonts w:ascii="Calibri" w:hAnsi="Calibri" w:cs="Calibri"/>
                <w:b/>
                <w:bCs/>
                <w:color w:val="000000"/>
                <w:sz w:val="22"/>
                <w:szCs w:val="22"/>
              </w:rPr>
              <w:t>Accountability</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361A1D2D"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E2EFD9" w:themeFill="accent6" w:themeFillTint="33"/>
          </w:tcPr>
          <w:p w14:paraId="787A9A19"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E2EFD9" w:themeFill="accent6" w:themeFillTint="33"/>
          </w:tcPr>
          <w:p w14:paraId="7B232CF4" w14:textId="77777777" w:rsidR="009C760E" w:rsidRPr="006A39C1" w:rsidRDefault="009C760E" w:rsidP="006D35C6">
            <w:pPr>
              <w:rPr>
                <w:rFonts w:ascii="Calibri" w:hAnsi="Calibri" w:cs="Calibri"/>
                <w:color w:val="000000"/>
                <w:sz w:val="22"/>
                <w:szCs w:val="22"/>
              </w:rPr>
            </w:pPr>
          </w:p>
        </w:tc>
      </w:tr>
      <w:tr w:rsidR="009C760E" w:rsidRPr="006A39C1" w14:paraId="4797DAC9" w14:textId="0F807AF0"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CC07639" w14:textId="4340EAD6" w:rsidR="009C760E" w:rsidRPr="006A39C1" w:rsidRDefault="009C760E" w:rsidP="006D35C6">
            <w:pPr>
              <w:jc w:val="right"/>
              <w:rPr>
                <w:rFonts w:ascii="Calibri" w:hAnsi="Calibri" w:cs="Calibri"/>
                <w:b/>
                <w:bCs/>
                <w:color w:val="000000"/>
                <w:sz w:val="22"/>
                <w:szCs w:val="22"/>
              </w:rPr>
            </w:pPr>
            <w:r w:rsidRPr="006A39C1">
              <w:rPr>
                <w:rFonts w:ascii="Calibri" w:hAnsi="Calibri" w:cs="Calibri"/>
                <w:color w:val="000000"/>
                <w:sz w:val="22"/>
                <w:szCs w:val="22"/>
              </w:rPr>
              <w:t>3.1</w:t>
            </w:r>
          </w:p>
        </w:tc>
        <w:tc>
          <w:tcPr>
            <w:tcW w:w="7060" w:type="dxa"/>
            <w:tcBorders>
              <w:top w:val="nil"/>
              <w:left w:val="nil"/>
              <w:bottom w:val="single" w:sz="4" w:space="0" w:color="auto"/>
              <w:right w:val="single" w:sz="4" w:space="0" w:color="auto"/>
            </w:tcBorders>
            <w:shd w:val="clear" w:color="auto" w:fill="auto"/>
            <w:noWrap/>
            <w:vAlign w:val="bottom"/>
          </w:tcPr>
          <w:p w14:paraId="3E845042" w14:textId="478AE02B" w:rsidR="009C760E" w:rsidRPr="006A39C1" w:rsidRDefault="009C760E" w:rsidP="006D35C6">
            <w:pPr>
              <w:rPr>
                <w:rFonts w:ascii="Calibri" w:hAnsi="Calibri" w:cs="Calibri"/>
                <w:b/>
                <w:bCs/>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 xml:space="preserve">here </w:t>
            </w:r>
            <w:r>
              <w:rPr>
                <w:rFonts w:ascii="Calibri" w:hAnsi="Calibri" w:cs="Calibri"/>
                <w:color w:val="000000"/>
                <w:sz w:val="22"/>
                <w:szCs w:val="22"/>
              </w:rPr>
              <w:t xml:space="preserve">are </w:t>
            </w:r>
            <w:r w:rsidRPr="006A39C1">
              <w:rPr>
                <w:rFonts w:ascii="Calibri" w:hAnsi="Calibri" w:cs="Calibri"/>
                <w:color w:val="000000"/>
                <w:sz w:val="22"/>
                <w:szCs w:val="22"/>
              </w:rPr>
              <w:t xml:space="preserve">reporting mechanisms, steps, and responsible actors identified to monitor compliance with the policies and practices and </w:t>
            </w:r>
            <w:r>
              <w:rPr>
                <w:rFonts w:ascii="Calibri" w:hAnsi="Calibri" w:cs="Calibri"/>
                <w:color w:val="000000"/>
                <w:sz w:val="22"/>
                <w:szCs w:val="22"/>
              </w:rPr>
              <w:t xml:space="preserve">to </w:t>
            </w:r>
            <w:r w:rsidRPr="006A39C1">
              <w:rPr>
                <w:rFonts w:ascii="Calibri" w:hAnsi="Calibri" w:cs="Calibri"/>
                <w:color w:val="000000"/>
                <w:sz w:val="22"/>
                <w:szCs w:val="22"/>
              </w:rPr>
              <w:t>address issues if the policy is not followed</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7507CEDD"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6EFA8993"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4EF90B0D" w14:textId="77777777" w:rsidR="009C760E" w:rsidRPr="006A39C1" w:rsidRDefault="009C760E" w:rsidP="006D35C6">
            <w:pPr>
              <w:rPr>
                <w:rFonts w:ascii="Calibri" w:hAnsi="Calibri" w:cs="Calibri"/>
                <w:color w:val="000000"/>
                <w:sz w:val="22"/>
                <w:szCs w:val="22"/>
              </w:rPr>
            </w:pPr>
          </w:p>
        </w:tc>
      </w:tr>
      <w:tr w:rsidR="009C760E" w:rsidRPr="006A39C1" w14:paraId="5B60A42F" w14:textId="4329BE99" w:rsidTr="009C760E">
        <w:trPr>
          <w:trHeight w:val="33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7B13D71" w14:textId="7310C154"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3.2</w:t>
            </w:r>
          </w:p>
        </w:tc>
        <w:tc>
          <w:tcPr>
            <w:tcW w:w="7060" w:type="dxa"/>
            <w:tcBorders>
              <w:top w:val="nil"/>
              <w:left w:val="nil"/>
              <w:bottom w:val="single" w:sz="4" w:space="0" w:color="auto"/>
              <w:right w:val="single" w:sz="4" w:space="0" w:color="auto"/>
            </w:tcBorders>
            <w:shd w:val="clear" w:color="auto" w:fill="auto"/>
            <w:vAlign w:val="center"/>
          </w:tcPr>
          <w:p w14:paraId="558EEB85" w14:textId="35C6AE29"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he policy contain</w:t>
            </w:r>
            <w:r>
              <w:rPr>
                <w:rFonts w:ascii="Calibri" w:hAnsi="Calibri" w:cs="Calibri"/>
                <w:color w:val="000000"/>
                <w:sz w:val="22"/>
                <w:szCs w:val="22"/>
              </w:rPr>
              <w:t>s</w:t>
            </w:r>
            <w:r w:rsidRPr="006A39C1">
              <w:rPr>
                <w:rFonts w:ascii="Calibri" w:hAnsi="Calibri" w:cs="Calibri"/>
                <w:color w:val="000000"/>
                <w:sz w:val="22"/>
                <w:szCs w:val="22"/>
              </w:rPr>
              <w:t xml:space="preserve"> clear language, and specific examples, of what it would mean to violate the policy</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66EE347E"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778EECFC"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3381DB5C" w14:textId="77777777" w:rsidR="009C760E" w:rsidRPr="006A39C1" w:rsidRDefault="009C760E" w:rsidP="006D35C6">
            <w:pPr>
              <w:rPr>
                <w:rFonts w:ascii="Calibri" w:hAnsi="Calibri" w:cs="Calibri"/>
                <w:color w:val="000000"/>
                <w:sz w:val="22"/>
                <w:szCs w:val="22"/>
              </w:rPr>
            </w:pPr>
          </w:p>
        </w:tc>
      </w:tr>
      <w:tr w:rsidR="009C760E" w:rsidRPr="006A39C1" w14:paraId="28E21A62" w14:textId="17C921DB" w:rsidTr="009C760E">
        <w:trPr>
          <w:trHeight w:val="33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58773D2" w14:textId="7376A185"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 </w:t>
            </w:r>
          </w:p>
        </w:tc>
        <w:tc>
          <w:tcPr>
            <w:tcW w:w="7060" w:type="dxa"/>
            <w:tcBorders>
              <w:top w:val="nil"/>
              <w:left w:val="nil"/>
              <w:bottom w:val="single" w:sz="4" w:space="0" w:color="auto"/>
              <w:right w:val="single" w:sz="4" w:space="0" w:color="auto"/>
            </w:tcBorders>
            <w:shd w:val="clear" w:color="auto" w:fill="auto"/>
            <w:noWrap/>
            <w:vAlign w:val="center"/>
          </w:tcPr>
          <w:p w14:paraId="58730379" w14:textId="1A01AAE6" w:rsidR="009C760E" w:rsidRPr="006A39C1" w:rsidRDefault="009C760E" w:rsidP="006D35C6">
            <w:pP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14:paraId="4F591E09"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7CCEDCC4"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1A248256" w14:textId="77777777" w:rsidR="009C760E" w:rsidRPr="006A39C1" w:rsidRDefault="009C760E" w:rsidP="006D35C6">
            <w:pPr>
              <w:rPr>
                <w:rFonts w:ascii="Calibri" w:hAnsi="Calibri" w:cs="Calibri"/>
                <w:color w:val="000000"/>
                <w:sz w:val="22"/>
                <w:szCs w:val="22"/>
              </w:rPr>
            </w:pPr>
          </w:p>
        </w:tc>
      </w:tr>
      <w:tr w:rsidR="009C760E" w:rsidRPr="006A39C1" w14:paraId="3B335FE8" w14:textId="05A8E46E" w:rsidTr="009C760E">
        <w:trPr>
          <w:trHeight w:val="330"/>
        </w:trPr>
        <w:tc>
          <w:tcPr>
            <w:tcW w:w="49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51AF6A6" w14:textId="32955FDC" w:rsidR="009C760E" w:rsidRPr="006A39C1" w:rsidRDefault="009C760E" w:rsidP="006D35C6">
            <w:pPr>
              <w:rPr>
                <w:rFonts w:ascii="Calibri" w:hAnsi="Calibri" w:cs="Calibri"/>
                <w:color w:val="000000"/>
                <w:sz w:val="22"/>
                <w:szCs w:val="22"/>
              </w:rPr>
            </w:pPr>
            <w:r w:rsidRPr="006A39C1">
              <w:rPr>
                <w:rFonts w:ascii="Calibri" w:hAnsi="Calibri" w:cs="Calibri"/>
                <w:b/>
                <w:bCs/>
                <w:color w:val="000000"/>
                <w:sz w:val="22"/>
                <w:szCs w:val="22"/>
              </w:rPr>
              <w:t>4</w:t>
            </w:r>
          </w:p>
        </w:tc>
        <w:tc>
          <w:tcPr>
            <w:tcW w:w="7060" w:type="dxa"/>
            <w:tcBorders>
              <w:top w:val="nil"/>
              <w:left w:val="nil"/>
              <w:bottom w:val="single" w:sz="4" w:space="0" w:color="auto"/>
              <w:right w:val="single" w:sz="4" w:space="0" w:color="auto"/>
            </w:tcBorders>
            <w:shd w:val="clear" w:color="auto" w:fill="E2EFD9" w:themeFill="accent6" w:themeFillTint="33"/>
            <w:vAlign w:val="bottom"/>
            <w:hideMark/>
          </w:tcPr>
          <w:p w14:paraId="7674F7FF" w14:textId="2C53E3DD" w:rsidR="009C760E" w:rsidRPr="006A39C1" w:rsidRDefault="009C760E" w:rsidP="006D35C6">
            <w:pPr>
              <w:rPr>
                <w:rFonts w:ascii="Calibri" w:hAnsi="Calibri" w:cs="Calibri"/>
                <w:color w:val="000000"/>
                <w:sz w:val="22"/>
                <w:szCs w:val="22"/>
              </w:rPr>
            </w:pPr>
            <w:r w:rsidRPr="006A39C1">
              <w:rPr>
                <w:rFonts w:ascii="Calibri" w:hAnsi="Calibri" w:cs="Calibri"/>
                <w:b/>
                <w:bCs/>
                <w:color w:val="000000"/>
                <w:sz w:val="22"/>
                <w:szCs w:val="22"/>
              </w:rPr>
              <w:t>Consistency</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005AEC99"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E2EFD9" w:themeFill="accent6" w:themeFillTint="33"/>
          </w:tcPr>
          <w:p w14:paraId="1F773AD6"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E2EFD9" w:themeFill="accent6" w:themeFillTint="33"/>
          </w:tcPr>
          <w:p w14:paraId="3B4FF281" w14:textId="77777777" w:rsidR="009C760E" w:rsidRPr="006A39C1" w:rsidRDefault="009C760E" w:rsidP="006D35C6">
            <w:pPr>
              <w:rPr>
                <w:rFonts w:ascii="Calibri" w:hAnsi="Calibri" w:cs="Calibri"/>
                <w:color w:val="000000"/>
                <w:sz w:val="22"/>
                <w:szCs w:val="22"/>
              </w:rPr>
            </w:pPr>
          </w:p>
        </w:tc>
      </w:tr>
      <w:tr w:rsidR="009C760E" w:rsidRPr="006A39C1" w14:paraId="61C3B3F9" w14:textId="05170E97"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CF31535" w14:textId="248ACDAE" w:rsidR="009C760E" w:rsidRPr="006A39C1" w:rsidRDefault="009C760E" w:rsidP="006D35C6">
            <w:pPr>
              <w:jc w:val="right"/>
              <w:rPr>
                <w:rFonts w:ascii="Calibri" w:hAnsi="Calibri" w:cs="Calibri"/>
                <w:b/>
                <w:bCs/>
                <w:color w:val="000000"/>
                <w:sz w:val="22"/>
                <w:szCs w:val="22"/>
              </w:rPr>
            </w:pPr>
            <w:r w:rsidRPr="006A39C1">
              <w:rPr>
                <w:rFonts w:ascii="Calibri" w:hAnsi="Calibri" w:cs="Calibri"/>
                <w:color w:val="000000"/>
                <w:sz w:val="22"/>
                <w:szCs w:val="22"/>
              </w:rPr>
              <w:t>4.1</w:t>
            </w:r>
          </w:p>
        </w:tc>
        <w:tc>
          <w:tcPr>
            <w:tcW w:w="7060" w:type="dxa"/>
            <w:tcBorders>
              <w:top w:val="nil"/>
              <w:left w:val="nil"/>
              <w:bottom w:val="single" w:sz="4" w:space="0" w:color="auto"/>
              <w:right w:val="single" w:sz="4" w:space="0" w:color="auto"/>
            </w:tcBorders>
            <w:shd w:val="clear" w:color="auto" w:fill="auto"/>
            <w:noWrap/>
            <w:vAlign w:val="bottom"/>
          </w:tcPr>
          <w:p w14:paraId="548176E2" w14:textId="2959587F" w:rsidR="009C760E" w:rsidRPr="006A39C1" w:rsidRDefault="009C760E" w:rsidP="006D35C6">
            <w:pPr>
              <w:rPr>
                <w:rFonts w:ascii="Calibri" w:hAnsi="Calibri" w:cs="Calibri"/>
                <w:b/>
                <w:bCs/>
                <w:color w:val="000000"/>
                <w:sz w:val="22"/>
                <w:szCs w:val="22"/>
              </w:rPr>
            </w:pPr>
            <w:r>
              <w:rPr>
                <w:rFonts w:ascii="Calibri" w:hAnsi="Calibri" w:cs="Calibri"/>
                <w:color w:val="000000"/>
                <w:sz w:val="22"/>
                <w:szCs w:val="22"/>
              </w:rPr>
              <w:t>E</w:t>
            </w:r>
            <w:r w:rsidRPr="006A39C1">
              <w:rPr>
                <w:rFonts w:ascii="Calibri" w:hAnsi="Calibri" w:cs="Calibri"/>
                <w:color w:val="000000"/>
                <w:sz w:val="22"/>
                <w:szCs w:val="22"/>
              </w:rPr>
              <w:t xml:space="preserve">ssential parts of the policy/process/guideline </w:t>
            </w:r>
            <w:r>
              <w:rPr>
                <w:rFonts w:ascii="Calibri" w:hAnsi="Calibri" w:cs="Calibri"/>
                <w:color w:val="000000"/>
                <w:sz w:val="22"/>
                <w:szCs w:val="22"/>
              </w:rPr>
              <w:t xml:space="preserve">are </w:t>
            </w:r>
            <w:r w:rsidRPr="006A39C1">
              <w:rPr>
                <w:rFonts w:ascii="Calibri" w:hAnsi="Calibri" w:cs="Calibri"/>
                <w:color w:val="000000"/>
                <w:sz w:val="22"/>
                <w:szCs w:val="22"/>
              </w:rPr>
              <w:t>consist</w:t>
            </w:r>
            <w:r>
              <w:rPr>
                <w:rFonts w:ascii="Calibri" w:hAnsi="Calibri" w:cs="Calibri"/>
                <w:color w:val="000000"/>
                <w:sz w:val="22"/>
                <w:szCs w:val="22"/>
              </w:rPr>
              <w:t>e</w:t>
            </w:r>
            <w:r w:rsidRPr="006A39C1">
              <w:rPr>
                <w:rFonts w:ascii="Calibri" w:hAnsi="Calibri" w:cs="Calibri"/>
                <w:color w:val="000000"/>
                <w:sz w:val="22"/>
                <w:szCs w:val="22"/>
              </w:rPr>
              <w:t>nt with other policies on campus</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05BA93C6"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23554ADE"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60977485" w14:textId="77777777" w:rsidR="009C760E" w:rsidRPr="006A39C1" w:rsidRDefault="009C760E" w:rsidP="006D35C6">
            <w:pPr>
              <w:rPr>
                <w:rFonts w:ascii="Calibri" w:hAnsi="Calibri" w:cs="Calibri"/>
                <w:color w:val="000000"/>
                <w:sz w:val="22"/>
                <w:szCs w:val="22"/>
              </w:rPr>
            </w:pPr>
          </w:p>
        </w:tc>
      </w:tr>
      <w:tr w:rsidR="009C760E" w:rsidRPr="006A39C1" w14:paraId="186E2CD5" w14:textId="2D5DFEF7"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2BDC3545" w14:textId="5BFFBA8A"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4.2</w:t>
            </w:r>
          </w:p>
        </w:tc>
        <w:tc>
          <w:tcPr>
            <w:tcW w:w="7060" w:type="dxa"/>
            <w:tcBorders>
              <w:top w:val="nil"/>
              <w:left w:val="nil"/>
              <w:bottom w:val="single" w:sz="4" w:space="0" w:color="auto"/>
              <w:right w:val="single" w:sz="4" w:space="0" w:color="auto"/>
            </w:tcBorders>
            <w:shd w:val="clear" w:color="000000" w:fill="FFFFFF"/>
            <w:noWrap/>
            <w:vAlign w:val="center"/>
          </w:tcPr>
          <w:p w14:paraId="39F45B6D" w14:textId="63A4D75A"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he policy/process/guideline align</w:t>
            </w:r>
            <w:r>
              <w:rPr>
                <w:rFonts w:ascii="Calibri" w:hAnsi="Calibri" w:cs="Calibri"/>
                <w:color w:val="000000"/>
                <w:sz w:val="22"/>
                <w:szCs w:val="22"/>
              </w:rPr>
              <w:t>s</w:t>
            </w:r>
            <w:r w:rsidRPr="006A39C1">
              <w:rPr>
                <w:rFonts w:ascii="Calibri" w:hAnsi="Calibri" w:cs="Calibri"/>
                <w:color w:val="000000"/>
                <w:sz w:val="22"/>
                <w:szCs w:val="22"/>
              </w:rPr>
              <w:t xml:space="preserve"> with the university's </w:t>
            </w:r>
            <w:hyperlink r:id="rId6" w:history="1">
              <w:r w:rsidRPr="007B6486">
                <w:rPr>
                  <w:rStyle w:val="Hyperlink"/>
                  <w:rFonts w:ascii="Calibri" w:hAnsi="Calibri" w:cs="Calibri"/>
                  <w:sz w:val="22"/>
                  <w:szCs w:val="22"/>
                </w:rPr>
                <w:t>mission, values, and strategic goals</w:t>
              </w:r>
            </w:hyperlink>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000000" w:fill="FFFFFF"/>
            <w:noWrap/>
            <w:vAlign w:val="bottom"/>
            <w:hideMark/>
          </w:tcPr>
          <w:p w14:paraId="6E6449C0"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3AE59B83"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0A0B0BBF" w14:textId="77777777" w:rsidR="009C760E" w:rsidRPr="006A39C1" w:rsidRDefault="009C760E" w:rsidP="006D35C6">
            <w:pPr>
              <w:rPr>
                <w:rFonts w:ascii="Calibri" w:hAnsi="Calibri" w:cs="Calibri"/>
                <w:color w:val="000000"/>
                <w:sz w:val="22"/>
                <w:szCs w:val="22"/>
              </w:rPr>
            </w:pPr>
          </w:p>
        </w:tc>
      </w:tr>
      <w:tr w:rsidR="009C760E" w:rsidRPr="006A39C1" w14:paraId="45C1C9D8" w14:textId="64CE52D6" w:rsidTr="009C760E">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14:paraId="55BAB860" w14:textId="42E084F3" w:rsidR="009C760E" w:rsidRPr="006A39C1" w:rsidRDefault="009C760E" w:rsidP="006D35C6">
            <w:pPr>
              <w:jc w:val="right"/>
              <w:rPr>
                <w:rFonts w:ascii="Calibri" w:hAnsi="Calibri" w:cs="Calibri"/>
                <w:color w:val="000000"/>
                <w:sz w:val="22"/>
                <w:szCs w:val="22"/>
              </w:rPr>
            </w:pPr>
            <w:r w:rsidRPr="006A39C1">
              <w:rPr>
                <w:rFonts w:ascii="Calibri" w:hAnsi="Calibri" w:cs="Calibri"/>
                <w:b/>
                <w:bCs/>
                <w:color w:val="000000"/>
                <w:sz w:val="22"/>
                <w:szCs w:val="22"/>
              </w:rPr>
              <w:t> </w:t>
            </w:r>
          </w:p>
        </w:tc>
        <w:tc>
          <w:tcPr>
            <w:tcW w:w="7060" w:type="dxa"/>
            <w:tcBorders>
              <w:top w:val="nil"/>
              <w:left w:val="nil"/>
              <w:bottom w:val="single" w:sz="4" w:space="0" w:color="auto"/>
              <w:right w:val="single" w:sz="4" w:space="0" w:color="auto"/>
            </w:tcBorders>
            <w:shd w:val="clear" w:color="auto" w:fill="auto"/>
            <w:noWrap/>
            <w:vAlign w:val="center"/>
          </w:tcPr>
          <w:p w14:paraId="77402246" w14:textId="4C8F877F" w:rsidR="009C760E" w:rsidRPr="006A39C1" w:rsidRDefault="009C760E" w:rsidP="006D35C6">
            <w:pP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000000" w:fill="FFFFFF"/>
            <w:noWrap/>
            <w:vAlign w:val="bottom"/>
            <w:hideMark/>
          </w:tcPr>
          <w:p w14:paraId="726FCABE"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000000" w:fill="FFFFFF"/>
          </w:tcPr>
          <w:p w14:paraId="2C4F6D40"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000000" w:fill="FFFFFF"/>
          </w:tcPr>
          <w:p w14:paraId="5A4CBB46" w14:textId="77777777" w:rsidR="009C760E" w:rsidRPr="006A39C1" w:rsidRDefault="009C760E" w:rsidP="006D35C6">
            <w:pPr>
              <w:rPr>
                <w:rFonts w:ascii="Calibri" w:hAnsi="Calibri" w:cs="Calibri"/>
                <w:color w:val="000000"/>
                <w:sz w:val="22"/>
                <w:szCs w:val="22"/>
              </w:rPr>
            </w:pPr>
          </w:p>
        </w:tc>
      </w:tr>
      <w:tr w:rsidR="009C760E" w:rsidRPr="006A39C1" w14:paraId="0895C1B9" w14:textId="4CB95CF9" w:rsidTr="009C760E">
        <w:trPr>
          <w:trHeight w:val="280"/>
        </w:trPr>
        <w:tc>
          <w:tcPr>
            <w:tcW w:w="49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6692FD2" w14:textId="0D9693E2" w:rsidR="009C760E" w:rsidRPr="006A39C1" w:rsidRDefault="009C760E" w:rsidP="006D35C6">
            <w:pPr>
              <w:rPr>
                <w:rFonts w:ascii="Calibri" w:hAnsi="Calibri" w:cs="Calibri"/>
                <w:b/>
                <w:bCs/>
                <w:color w:val="000000"/>
                <w:sz w:val="22"/>
                <w:szCs w:val="22"/>
              </w:rPr>
            </w:pPr>
            <w:r w:rsidRPr="006A39C1">
              <w:rPr>
                <w:rFonts w:ascii="Calibri" w:hAnsi="Calibri" w:cs="Calibri"/>
                <w:b/>
                <w:bCs/>
                <w:color w:val="000000"/>
                <w:sz w:val="22"/>
                <w:szCs w:val="22"/>
              </w:rPr>
              <w:t>5</w:t>
            </w:r>
          </w:p>
        </w:tc>
        <w:tc>
          <w:tcPr>
            <w:tcW w:w="7060" w:type="dxa"/>
            <w:tcBorders>
              <w:top w:val="nil"/>
              <w:left w:val="nil"/>
              <w:bottom w:val="single" w:sz="4" w:space="0" w:color="auto"/>
              <w:right w:val="single" w:sz="4" w:space="0" w:color="auto"/>
            </w:tcBorders>
            <w:shd w:val="clear" w:color="auto" w:fill="E2EFD9" w:themeFill="accent6" w:themeFillTint="33"/>
            <w:noWrap/>
            <w:vAlign w:val="bottom"/>
            <w:hideMark/>
          </w:tcPr>
          <w:p w14:paraId="7C5C68A5" w14:textId="74A9CBD5" w:rsidR="009C760E" w:rsidRPr="006A39C1" w:rsidRDefault="009C760E" w:rsidP="006D35C6">
            <w:pPr>
              <w:rPr>
                <w:rFonts w:ascii="Calibri" w:hAnsi="Calibri" w:cs="Calibri"/>
                <w:b/>
                <w:bCs/>
                <w:color w:val="000000"/>
                <w:sz w:val="22"/>
                <w:szCs w:val="22"/>
              </w:rPr>
            </w:pPr>
            <w:r w:rsidRPr="006A39C1">
              <w:rPr>
                <w:rFonts w:ascii="Calibri" w:hAnsi="Calibri" w:cs="Calibri"/>
                <w:b/>
                <w:bCs/>
                <w:color w:val="000000"/>
                <w:sz w:val="22"/>
                <w:szCs w:val="22"/>
              </w:rPr>
              <w:t>Context/Flexibility</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00278E96"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E2EFD9" w:themeFill="accent6" w:themeFillTint="33"/>
          </w:tcPr>
          <w:p w14:paraId="05746152"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E2EFD9" w:themeFill="accent6" w:themeFillTint="33"/>
          </w:tcPr>
          <w:p w14:paraId="7E308F8D" w14:textId="77777777" w:rsidR="009C760E" w:rsidRPr="006A39C1" w:rsidRDefault="009C760E" w:rsidP="006D35C6">
            <w:pPr>
              <w:rPr>
                <w:rFonts w:ascii="Calibri" w:hAnsi="Calibri" w:cs="Calibri"/>
                <w:color w:val="000000"/>
                <w:sz w:val="22"/>
                <w:szCs w:val="22"/>
              </w:rPr>
            </w:pPr>
          </w:p>
        </w:tc>
      </w:tr>
      <w:tr w:rsidR="009C760E" w:rsidRPr="006A39C1" w14:paraId="7FA140C9" w14:textId="27FFFEEC"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43596A5" w14:textId="662EE4A0" w:rsidR="009C760E" w:rsidRPr="006A39C1" w:rsidRDefault="009C760E" w:rsidP="006D35C6">
            <w:pPr>
              <w:jc w:val="right"/>
              <w:rPr>
                <w:rFonts w:ascii="Calibri" w:hAnsi="Calibri" w:cs="Calibri"/>
                <w:b/>
                <w:bCs/>
                <w:color w:val="000000"/>
                <w:sz w:val="22"/>
                <w:szCs w:val="22"/>
              </w:rPr>
            </w:pPr>
            <w:r w:rsidRPr="006A39C1">
              <w:rPr>
                <w:rFonts w:ascii="Calibri" w:hAnsi="Calibri" w:cs="Calibri"/>
                <w:color w:val="000000"/>
                <w:sz w:val="22"/>
                <w:szCs w:val="22"/>
              </w:rPr>
              <w:t>5.1</w:t>
            </w:r>
          </w:p>
        </w:tc>
        <w:tc>
          <w:tcPr>
            <w:tcW w:w="7060" w:type="dxa"/>
            <w:tcBorders>
              <w:top w:val="nil"/>
              <w:left w:val="nil"/>
              <w:bottom w:val="single" w:sz="4" w:space="0" w:color="auto"/>
              <w:right w:val="single" w:sz="4" w:space="0" w:color="auto"/>
            </w:tcBorders>
            <w:shd w:val="clear" w:color="auto" w:fill="auto"/>
            <w:noWrap/>
            <w:vAlign w:val="bottom"/>
          </w:tcPr>
          <w:p w14:paraId="46E12840" w14:textId="30FDA38A" w:rsidR="009C760E" w:rsidRPr="006A39C1" w:rsidRDefault="009C760E" w:rsidP="006D35C6">
            <w:pPr>
              <w:rPr>
                <w:rFonts w:ascii="Calibri" w:hAnsi="Calibri" w:cs="Calibri"/>
                <w:b/>
                <w:bCs/>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he policy</w:t>
            </w:r>
            <w:r>
              <w:rPr>
                <w:rFonts w:ascii="Calibri" w:hAnsi="Calibri" w:cs="Calibri"/>
                <w:color w:val="000000"/>
                <w:sz w:val="22"/>
                <w:szCs w:val="22"/>
              </w:rPr>
              <w:t xml:space="preserve"> is</w:t>
            </w:r>
            <w:r w:rsidRPr="006A39C1">
              <w:rPr>
                <w:rFonts w:ascii="Calibri" w:hAnsi="Calibri" w:cs="Calibri"/>
                <w:color w:val="000000"/>
                <w:sz w:val="22"/>
                <w:szCs w:val="22"/>
              </w:rPr>
              <w:t xml:space="preserve"> practical and applicable to the university's unique context</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46D1F498"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39BC2B23"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22E37063" w14:textId="77777777" w:rsidR="009C760E" w:rsidRPr="006A39C1" w:rsidRDefault="009C760E" w:rsidP="006D35C6">
            <w:pPr>
              <w:rPr>
                <w:rFonts w:ascii="Calibri" w:hAnsi="Calibri" w:cs="Calibri"/>
                <w:color w:val="000000"/>
                <w:sz w:val="22"/>
                <w:szCs w:val="22"/>
              </w:rPr>
            </w:pPr>
          </w:p>
        </w:tc>
      </w:tr>
      <w:tr w:rsidR="009C760E" w:rsidRPr="006A39C1" w14:paraId="3B9D2ECD" w14:textId="0A5B58D7" w:rsidTr="009C760E">
        <w:trPr>
          <w:trHeight w:val="29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83F497E" w14:textId="6978C1CE"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5.2</w:t>
            </w:r>
          </w:p>
        </w:tc>
        <w:tc>
          <w:tcPr>
            <w:tcW w:w="7060" w:type="dxa"/>
            <w:tcBorders>
              <w:top w:val="nil"/>
              <w:left w:val="nil"/>
              <w:bottom w:val="single" w:sz="4" w:space="0" w:color="auto"/>
              <w:right w:val="single" w:sz="4" w:space="0" w:color="auto"/>
            </w:tcBorders>
            <w:shd w:val="clear" w:color="auto" w:fill="auto"/>
            <w:vAlign w:val="bottom"/>
          </w:tcPr>
          <w:p w14:paraId="5EF344F5" w14:textId="0D77B409"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The p</w:t>
            </w:r>
            <w:r w:rsidRPr="006A39C1">
              <w:rPr>
                <w:rFonts w:ascii="Calibri" w:hAnsi="Calibri" w:cs="Calibri"/>
                <w:color w:val="000000"/>
                <w:sz w:val="22"/>
                <w:szCs w:val="22"/>
              </w:rPr>
              <w:t>olicy can adapt to new, different, and changing set of university situations over time</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35A95135"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75265B3D"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6D6BDF88" w14:textId="77777777" w:rsidR="009C760E" w:rsidRPr="006A39C1" w:rsidRDefault="009C760E" w:rsidP="006D35C6">
            <w:pPr>
              <w:rPr>
                <w:rFonts w:ascii="Calibri" w:hAnsi="Calibri" w:cs="Calibri"/>
                <w:color w:val="000000"/>
                <w:sz w:val="22"/>
                <w:szCs w:val="22"/>
              </w:rPr>
            </w:pPr>
          </w:p>
        </w:tc>
      </w:tr>
      <w:tr w:rsidR="009C760E" w:rsidRPr="006A39C1" w14:paraId="2658708A" w14:textId="5E6B63C8" w:rsidTr="009C760E">
        <w:trPr>
          <w:trHeight w:val="29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819526E" w14:textId="725F1D90"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lastRenderedPageBreak/>
              <w:t>5.3</w:t>
            </w:r>
          </w:p>
        </w:tc>
        <w:tc>
          <w:tcPr>
            <w:tcW w:w="7060" w:type="dxa"/>
            <w:tcBorders>
              <w:top w:val="nil"/>
              <w:left w:val="nil"/>
              <w:bottom w:val="single" w:sz="4" w:space="0" w:color="auto"/>
              <w:right w:val="single" w:sz="4" w:space="0" w:color="auto"/>
            </w:tcBorders>
            <w:shd w:val="clear" w:color="auto" w:fill="auto"/>
            <w:vAlign w:val="bottom"/>
          </w:tcPr>
          <w:p w14:paraId="1E7C0547" w14:textId="44427B03"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 xml:space="preserve">he policy </w:t>
            </w:r>
            <w:r>
              <w:rPr>
                <w:rFonts w:ascii="Calibri" w:hAnsi="Calibri" w:cs="Calibri"/>
                <w:color w:val="000000"/>
                <w:sz w:val="22"/>
                <w:szCs w:val="22"/>
              </w:rPr>
              <w:t xml:space="preserve">clearly </w:t>
            </w:r>
            <w:r w:rsidRPr="006A39C1">
              <w:rPr>
                <w:rFonts w:ascii="Calibri" w:hAnsi="Calibri" w:cs="Calibri"/>
                <w:color w:val="000000"/>
                <w:sz w:val="22"/>
                <w:szCs w:val="22"/>
              </w:rPr>
              <w:t>articulate</w:t>
            </w:r>
            <w:r>
              <w:rPr>
                <w:rFonts w:ascii="Calibri" w:hAnsi="Calibri" w:cs="Calibri"/>
                <w:color w:val="000000"/>
                <w:sz w:val="22"/>
                <w:szCs w:val="22"/>
              </w:rPr>
              <w:t>s</w:t>
            </w:r>
            <w:r w:rsidRPr="006A39C1">
              <w:rPr>
                <w:rFonts w:ascii="Calibri" w:hAnsi="Calibri" w:cs="Calibri"/>
                <w:color w:val="000000"/>
                <w:sz w:val="22"/>
                <w:szCs w:val="22"/>
              </w:rPr>
              <w:t xml:space="preserve"> exceptions</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16E33AEE"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6B93ED6D"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58DFE7C4" w14:textId="77777777" w:rsidR="009C760E" w:rsidRPr="006A39C1" w:rsidRDefault="009C760E" w:rsidP="006D35C6">
            <w:pPr>
              <w:rPr>
                <w:rFonts w:ascii="Calibri" w:hAnsi="Calibri" w:cs="Calibri"/>
                <w:color w:val="000000"/>
                <w:sz w:val="22"/>
                <w:szCs w:val="22"/>
              </w:rPr>
            </w:pPr>
          </w:p>
        </w:tc>
      </w:tr>
      <w:tr w:rsidR="009C760E" w:rsidRPr="006A39C1" w14:paraId="2E97FC97" w14:textId="20CB2A90" w:rsidTr="009C760E">
        <w:trPr>
          <w:trHeight w:val="29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9E21AD4" w14:textId="3C2A5777"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5.4</w:t>
            </w:r>
          </w:p>
        </w:tc>
        <w:tc>
          <w:tcPr>
            <w:tcW w:w="7060" w:type="dxa"/>
            <w:tcBorders>
              <w:top w:val="nil"/>
              <w:left w:val="nil"/>
              <w:bottom w:val="single" w:sz="4" w:space="0" w:color="auto"/>
              <w:right w:val="single" w:sz="4" w:space="0" w:color="auto"/>
            </w:tcBorders>
            <w:shd w:val="clear" w:color="auto" w:fill="auto"/>
            <w:vAlign w:val="bottom"/>
          </w:tcPr>
          <w:p w14:paraId="622BEF6F" w14:textId="4575EF57"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he policy recognize</w:t>
            </w:r>
            <w:r>
              <w:rPr>
                <w:rFonts w:ascii="Calibri" w:hAnsi="Calibri" w:cs="Calibri"/>
                <w:color w:val="000000"/>
                <w:sz w:val="22"/>
                <w:szCs w:val="22"/>
              </w:rPr>
              <w:t>s</w:t>
            </w:r>
            <w:r w:rsidRPr="006A39C1">
              <w:rPr>
                <w:rFonts w:ascii="Calibri" w:hAnsi="Calibri" w:cs="Calibri"/>
                <w:color w:val="000000"/>
                <w:sz w:val="22"/>
                <w:szCs w:val="22"/>
              </w:rPr>
              <w:t xml:space="preserve"> mission-critical work (e.g., mentoring, institutional service, DEI)</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4A8D6CE9"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4BD80AF3"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2D2CA06B" w14:textId="77777777" w:rsidR="009C760E" w:rsidRPr="006A39C1" w:rsidRDefault="009C760E" w:rsidP="006D35C6">
            <w:pPr>
              <w:rPr>
                <w:rFonts w:ascii="Calibri" w:hAnsi="Calibri" w:cs="Calibri"/>
                <w:color w:val="000000"/>
                <w:sz w:val="22"/>
                <w:szCs w:val="22"/>
              </w:rPr>
            </w:pPr>
          </w:p>
        </w:tc>
      </w:tr>
      <w:tr w:rsidR="009C760E" w:rsidRPr="006A39C1" w14:paraId="6772D8BE" w14:textId="2412F500" w:rsidTr="009C760E">
        <w:trPr>
          <w:trHeight w:val="29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7C1ED72" w14:textId="6BA58656"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 </w:t>
            </w:r>
          </w:p>
        </w:tc>
        <w:tc>
          <w:tcPr>
            <w:tcW w:w="7060" w:type="dxa"/>
            <w:tcBorders>
              <w:top w:val="nil"/>
              <w:left w:val="nil"/>
              <w:bottom w:val="single" w:sz="4" w:space="0" w:color="auto"/>
              <w:right w:val="single" w:sz="4" w:space="0" w:color="auto"/>
            </w:tcBorders>
            <w:shd w:val="clear" w:color="auto" w:fill="auto"/>
            <w:vAlign w:val="bottom"/>
          </w:tcPr>
          <w:p w14:paraId="05BEF7EC" w14:textId="5B3EEB18" w:rsidR="009C760E" w:rsidRPr="006A39C1" w:rsidRDefault="009C760E" w:rsidP="006D35C6">
            <w:pP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14:paraId="0A39D37B"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5132DA7D"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064DC976" w14:textId="77777777" w:rsidR="009C760E" w:rsidRPr="006A39C1" w:rsidRDefault="009C760E" w:rsidP="006D35C6">
            <w:pPr>
              <w:rPr>
                <w:rFonts w:ascii="Calibri" w:hAnsi="Calibri" w:cs="Calibri"/>
                <w:color w:val="000000"/>
                <w:sz w:val="22"/>
                <w:szCs w:val="22"/>
              </w:rPr>
            </w:pPr>
          </w:p>
        </w:tc>
      </w:tr>
      <w:tr w:rsidR="009C760E" w:rsidRPr="006A39C1" w14:paraId="384904EC" w14:textId="713659C7" w:rsidTr="009C760E">
        <w:trPr>
          <w:trHeight w:val="290"/>
        </w:trPr>
        <w:tc>
          <w:tcPr>
            <w:tcW w:w="49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BF1E0AB" w14:textId="75A25B8A" w:rsidR="009C760E" w:rsidRPr="006A39C1" w:rsidRDefault="009C760E" w:rsidP="006D35C6">
            <w:pPr>
              <w:rPr>
                <w:rFonts w:ascii="Calibri" w:hAnsi="Calibri" w:cs="Calibri"/>
                <w:color w:val="000000"/>
                <w:sz w:val="22"/>
                <w:szCs w:val="22"/>
              </w:rPr>
            </w:pPr>
            <w:r>
              <w:rPr>
                <w:rFonts w:ascii="Calibri" w:hAnsi="Calibri" w:cs="Calibri"/>
                <w:b/>
                <w:bCs/>
                <w:color w:val="000000"/>
                <w:sz w:val="22"/>
                <w:szCs w:val="22"/>
              </w:rPr>
              <w:t>6</w:t>
            </w:r>
          </w:p>
        </w:tc>
        <w:tc>
          <w:tcPr>
            <w:tcW w:w="7060" w:type="dxa"/>
            <w:tcBorders>
              <w:top w:val="nil"/>
              <w:left w:val="nil"/>
              <w:bottom w:val="single" w:sz="4" w:space="0" w:color="auto"/>
              <w:right w:val="single" w:sz="4" w:space="0" w:color="auto"/>
            </w:tcBorders>
            <w:shd w:val="clear" w:color="auto" w:fill="E2EFD9" w:themeFill="accent6" w:themeFillTint="33"/>
            <w:noWrap/>
            <w:vAlign w:val="bottom"/>
            <w:hideMark/>
          </w:tcPr>
          <w:p w14:paraId="4944CC53" w14:textId="5436B7F1" w:rsidR="009C760E" w:rsidRPr="006A39C1" w:rsidRDefault="009C760E" w:rsidP="006D35C6">
            <w:pPr>
              <w:rPr>
                <w:rFonts w:ascii="Calibri" w:hAnsi="Calibri" w:cs="Calibri"/>
                <w:color w:val="000000"/>
                <w:sz w:val="22"/>
                <w:szCs w:val="22"/>
              </w:rPr>
            </w:pPr>
            <w:r w:rsidRPr="006A39C1">
              <w:rPr>
                <w:rFonts w:ascii="Calibri" w:hAnsi="Calibri" w:cs="Calibri"/>
                <w:b/>
                <w:bCs/>
                <w:color w:val="000000"/>
                <w:sz w:val="22"/>
                <w:szCs w:val="22"/>
              </w:rPr>
              <w:t xml:space="preserve">Intersectionality </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6F5F5B93"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E2EFD9" w:themeFill="accent6" w:themeFillTint="33"/>
          </w:tcPr>
          <w:p w14:paraId="17A692C3"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E2EFD9" w:themeFill="accent6" w:themeFillTint="33"/>
          </w:tcPr>
          <w:p w14:paraId="4D1F240C" w14:textId="77777777" w:rsidR="009C760E" w:rsidRPr="006A39C1" w:rsidRDefault="009C760E" w:rsidP="006D35C6">
            <w:pPr>
              <w:rPr>
                <w:rFonts w:ascii="Calibri" w:hAnsi="Calibri" w:cs="Calibri"/>
                <w:color w:val="000000"/>
                <w:sz w:val="22"/>
                <w:szCs w:val="22"/>
              </w:rPr>
            </w:pPr>
          </w:p>
        </w:tc>
      </w:tr>
      <w:tr w:rsidR="009C760E" w:rsidRPr="006A39C1" w14:paraId="0BFDE55D" w14:textId="3EB6CAD5"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44EA893" w14:textId="15EEF143" w:rsidR="009C760E" w:rsidRPr="006A39C1" w:rsidRDefault="009C760E" w:rsidP="006D35C6">
            <w:pPr>
              <w:jc w:val="right"/>
              <w:rPr>
                <w:rFonts w:ascii="Calibri" w:hAnsi="Calibri" w:cs="Calibri"/>
                <w:b/>
                <w:bCs/>
                <w:color w:val="000000"/>
                <w:sz w:val="22"/>
                <w:szCs w:val="22"/>
              </w:rPr>
            </w:pPr>
            <w:r>
              <w:rPr>
                <w:rFonts w:ascii="Calibri" w:hAnsi="Calibri" w:cs="Calibri"/>
                <w:color w:val="000000"/>
                <w:sz w:val="22"/>
                <w:szCs w:val="22"/>
              </w:rPr>
              <w:t>6</w:t>
            </w:r>
            <w:r w:rsidRPr="006A39C1">
              <w:rPr>
                <w:rFonts w:ascii="Calibri" w:hAnsi="Calibri" w:cs="Calibri"/>
                <w:color w:val="000000"/>
                <w:sz w:val="22"/>
                <w:szCs w:val="22"/>
              </w:rPr>
              <w:t>.1</w:t>
            </w:r>
          </w:p>
        </w:tc>
        <w:tc>
          <w:tcPr>
            <w:tcW w:w="7060" w:type="dxa"/>
            <w:tcBorders>
              <w:top w:val="nil"/>
              <w:left w:val="nil"/>
              <w:bottom w:val="single" w:sz="4" w:space="0" w:color="auto"/>
              <w:right w:val="single" w:sz="4" w:space="0" w:color="auto"/>
            </w:tcBorders>
            <w:shd w:val="clear" w:color="auto" w:fill="auto"/>
            <w:noWrap/>
            <w:vAlign w:val="bottom"/>
          </w:tcPr>
          <w:p w14:paraId="38A5FD3F" w14:textId="523B77EF" w:rsidR="009C760E" w:rsidRPr="006A39C1" w:rsidRDefault="009C760E" w:rsidP="006D35C6">
            <w:pPr>
              <w:rPr>
                <w:rFonts w:ascii="Calibri" w:hAnsi="Calibri" w:cs="Calibri"/>
                <w:b/>
                <w:bCs/>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he policy protect</w:t>
            </w:r>
            <w:r>
              <w:rPr>
                <w:rFonts w:ascii="Calibri" w:hAnsi="Calibri" w:cs="Calibri"/>
                <w:color w:val="000000"/>
                <w:sz w:val="22"/>
                <w:szCs w:val="22"/>
              </w:rPr>
              <w:t>s</w:t>
            </w:r>
            <w:r w:rsidRPr="006A39C1">
              <w:rPr>
                <w:rFonts w:ascii="Calibri" w:hAnsi="Calibri" w:cs="Calibri"/>
                <w:color w:val="000000"/>
                <w:sz w:val="22"/>
                <w:szCs w:val="22"/>
              </w:rPr>
              <w:t xml:space="preserve"> different populations (e.g., racial/ethnicity, sexuality, SES, gender, ability, immigration status, caregiving status) from harm and disadvantage</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52F13EAA"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2C0DF1AD"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05902B7E" w14:textId="77777777" w:rsidR="009C760E" w:rsidRPr="006A39C1" w:rsidRDefault="009C760E" w:rsidP="006D35C6">
            <w:pPr>
              <w:rPr>
                <w:rFonts w:ascii="Calibri" w:hAnsi="Calibri" w:cs="Calibri"/>
                <w:color w:val="000000"/>
                <w:sz w:val="22"/>
                <w:szCs w:val="22"/>
              </w:rPr>
            </w:pPr>
          </w:p>
        </w:tc>
      </w:tr>
      <w:tr w:rsidR="009C760E" w:rsidRPr="006A39C1" w14:paraId="7563988A" w14:textId="06E139A6"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654DFF4" w14:textId="4626D601" w:rsidR="009C760E" w:rsidRPr="006A39C1" w:rsidRDefault="009C760E" w:rsidP="006D35C6">
            <w:pPr>
              <w:jc w:val="right"/>
              <w:rPr>
                <w:rFonts w:ascii="Calibri" w:hAnsi="Calibri" w:cs="Calibri"/>
                <w:color w:val="000000"/>
                <w:sz w:val="22"/>
                <w:szCs w:val="22"/>
              </w:rPr>
            </w:pPr>
            <w:r>
              <w:rPr>
                <w:rFonts w:ascii="Calibri" w:hAnsi="Calibri" w:cs="Calibri"/>
                <w:color w:val="000000"/>
                <w:sz w:val="22"/>
                <w:szCs w:val="22"/>
              </w:rPr>
              <w:t>6</w:t>
            </w:r>
            <w:r w:rsidRPr="006A39C1">
              <w:rPr>
                <w:rFonts w:ascii="Calibri" w:hAnsi="Calibri" w:cs="Calibri"/>
                <w:color w:val="000000"/>
                <w:sz w:val="22"/>
                <w:szCs w:val="22"/>
              </w:rPr>
              <w:t>.2</w:t>
            </w:r>
          </w:p>
        </w:tc>
        <w:tc>
          <w:tcPr>
            <w:tcW w:w="7060" w:type="dxa"/>
            <w:tcBorders>
              <w:top w:val="nil"/>
              <w:left w:val="nil"/>
              <w:bottom w:val="single" w:sz="4" w:space="0" w:color="auto"/>
              <w:right w:val="single" w:sz="4" w:space="0" w:color="auto"/>
            </w:tcBorders>
            <w:shd w:val="clear" w:color="auto" w:fill="auto"/>
            <w:noWrap/>
            <w:vAlign w:val="bottom"/>
          </w:tcPr>
          <w:p w14:paraId="21204BD7" w14:textId="4E74EE6E"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Th</w:t>
            </w:r>
            <w:r w:rsidRPr="006A39C1">
              <w:rPr>
                <w:rFonts w:ascii="Calibri" w:hAnsi="Calibri" w:cs="Calibri"/>
                <w:color w:val="000000"/>
                <w:sz w:val="22"/>
                <w:szCs w:val="22"/>
              </w:rPr>
              <w:t>e policy ensure</w:t>
            </w:r>
            <w:r>
              <w:rPr>
                <w:rFonts w:ascii="Calibri" w:hAnsi="Calibri" w:cs="Calibri"/>
                <w:color w:val="000000"/>
                <w:sz w:val="22"/>
                <w:szCs w:val="22"/>
              </w:rPr>
              <w:t>s</w:t>
            </w:r>
            <w:r w:rsidRPr="006A39C1">
              <w:rPr>
                <w:rFonts w:ascii="Calibri" w:hAnsi="Calibri" w:cs="Calibri"/>
                <w:color w:val="000000"/>
                <w:sz w:val="22"/>
                <w:szCs w:val="22"/>
              </w:rPr>
              <w:t xml:space="preserve"> that all members of the university community have </w:t>
            </w:r>
            <w:r>
              <w:rPr>
                <w:rFonts w:ascii="Calibri" w:hAnsi="Calibri" w:cs="Calibri"/>
                <w:color w:val="000000"/>
                <w:sz w:val="22"/>
                <w:szCs w:val="22"/>
              </w:rPr>
              <w:t>equitable</w:t>
            </w:r>
            <w:r w:rsidRPr="006A39C1">
              <w:rPr>
                <w:rFonts w:ascii="Calibri" w:hAnsi="Calibri" w:cs="Calibri"/>
                <w:color w:val="000000"/>
                <w:sz w:val="22"/>
                <w:szCs w:val="22"/>
              </w:rPr>
              <w:t xml:space="preserve"> access to resources and opportunities</w:t>
            </w:r>
            <w:r>
              <w:rPr>
                <w:rFonts w:ascii="Calibri" w:hAnsi="Calibri" w:cs="Calibri"/>
                <w:color w:val="000000"/>
                <w:sz w:val="22"/>
                <w:szCs w:val="22"/>
              </w:rPr>
              <w:t>.</w:t>
            </w:r>
          </w:p>
        </w:tc>
        <w:tc>
          <w:tcPr>
            <w:tcW w:w="1080" w:type="dxa"/>
            <w:tcBorders>
              <w:top w:val="nil"/>
              <w:left w:val="nil"/>
              <w:bottom w:val="single" w:sz="4" w:space="0" w:color="auto"/>
              <w:right w:val="single" w:sz="4" w:space="0" w:color="auto"/>
            </w:tcBorders>
            <w:shd w:val="clear" w:color="auto" w:fill="auto"/>
            <w:noWrap/>
            <w:vAlign w:val="bottom"/>
            <w:hideMark/>
          </w:tcPr>
          <w:p w14:paraId="6F0A336C"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6966A548"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096D439D" w14:textId="77777777" w:rsidR="009C760E" w:rsidRPr="006A39C1" w:rsidRDefault="009C760E" w:rsidP="006D35C6">
            <w:pPr>
              <w:rPr>
                <w:rFonts w:ascii="Calibri" w:hAnsi="Calibri" w:cs="Calibri"/>
                <w:color w:val="000000"/>
                <w:sz w:val="22"/>
                <w:szCs w:val="22"/>
              </w:rPr>
            </w:pPr>
          </w:p>
        </w:tc>
      </w:tr>
      <w:tr w:rsidR="009C760E" w:rsidRPr="006A39C1" w14:paraId="34BA0DCC" w14:textId="3FC79B40"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8DFCBF7" w14:textId="49EA444D" w:rsidR="009C760E" w:rsidRPr="006A39C1" w:rsidRDefault="009C760E" w:rsidP="006D35C6">
            <w:pPr>
              <w:jc w:val="right"/>
              <w:rPr>
                <w:rFonts w:ascii="Calibri" w:hAnsi="Calibri" w:cs="Calibri"/>
                <w:color w:val="000000"/>
                <w:sz w:val="22"/>
                <w:szCs w:val="22"/>
              </w:rPr>
            </w:pPr>
            <w:r>
              <w:rPr>
                <w:rFonts w:ascii="Calibri" w:hAnsi="Calibri" w:cs="Calibri"/>
                <w:color w:val="000000"/>
                <w:sz w:val="22"/>
                <w:szCs w:val="22"/>
              </w:rPr>
              <w:t>6</w:t>
            </w:r>
            <w:r w:rsidRPr="006A39C1">
              <w:rPr>
                <w:rFonts w:ascii="Calibri" w:hAnsi="Calibri" w:cs="Calibri"/>
                <w:color w:val="000000"/>
                <w:sz w:val="22"/>
                <w:szCs w:val="22"/>
              </w:rPr>
              <w:t>.3</w:t>
            </w:r>
          </w:p>
        </w:tc>
        <w:tc>
          <w:tcPr>
            <w:tcW w:w="7060" w:type="dxa"/>
            <w:tcBorders>
              <w:top w:val="nil"/>
              <w:left w:val="nil"/>
              <w:bottom w:val="single" w:sz="4" w:space="0" w:color="auto"/>
              <w:right w:val="single" w:sz="4" w:space="0" w:color="auto"/>
            </w:tcBorders>
            <w:shd w:val="clear" w:color="auto" w:fill="auto"/>
            <w:noWrap/>
            <w:vAlign w:val="bottom"/>
          </w:tcPr>
          <w:p w14:paraId="0CA07084" w14:textId="76EBCD4C"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he policy incorporate</w:t>
            </w:r>
            <w:r>
              <w:rPr>
                <w:rFonts w:ascii="Calibri" w:hAnsi="Calibri" w:cs="Calibri"/>
                <w:color w:val="000000"/>
                <w:sz w:val="22"/>
                <w:szCs w:val="22"/>
              </w:rPr>
              <w:t>s</w:t>
            </w:r>
            <w:r w:rsidRPr="006A39C1">
              <w:rPr>
                <w:rFonts w:ascii="Calibri" w:hAnsi="Calibri" w:cs="Calibri"/>
                <w:color w:val="000000"/>
                <w:sz w:val="22"/>
                <w:szCs w:val="22"/>
              </w:rPr>
              <w:t xml:space="preserve"> inclusive</w:t>
            </w:r>
            <w:r>
              <w:rPr>
                <w:rFonts w:ascii="Calibri" w:hAnsi="Calibri" w:cs="Calibri"/>
                <w:color w:val="000000"/>
                <w:sz w:val="22"/>
                <w:szCs w:val="22"/>
              </w:rPr>
              <w:t xml:space="preserve"> and equitable</w:t>
            </w:r>
            <w:r w:rsidRPr="006A39C1">
              <w:rPr>
                <w:rFonts w:ascii="Calibri" w:hAnsi="Calibri" w:cs="Calibri"/>
                <w:color w:val="000000"/>
                <w:sz w:val="22"/>
                <w:szCs w:val="22"/>
              </w:rPr>
              <w:t xml:space="preserve"> solutions that consider the needs of </w:t>
            </w:r>
            <w:r>
              <w:rPr>
                <w:rFonts w:ascii="Calibri" w:hAnsi="Calibri" w:cs="Calibri"/>
                <w:color w:val="000000"/>
                <w:sz w:val="22"/>
                <w:szCs w:val="22"/>
              </w:rPr>
              <w:t>people from diverse groups.</w:t>
            </w:r>
          </w:p>
        </w:tc>
        <w:tc>
          <w:tcPr>
            <w:tcW w:w="1080" w:type="dxa"/>
            <w:tcBorders>
              <w:top w:val="nil"/>
              <w:left w:val="nil"/>
              <w:bottom w:val="single" w:sz="4" w:space="0" w:color="auto"/>
              <w:right w:val="single" w:sz="4" w:space="0" w:color="auto"/>
            </w:tcBorders>
            <w:shd w:val="clear" w:color="auto" w:fill="auto"/>
            <w:noWrap/>
            <w:vAlign w:val="bottom"/>
            <w:hideMark/>
          </w:tcPr>
          <w:p w14:paraId="02092AC2"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1C5AAA2B"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679BCF72" w14:textId="77777777" w:rsidR="009C760E" w:rsidRPr="006A39C1" w:rsidRDefault="009C760E" w:rsidP="006D35C6">
            <w:pPr>
              <w:rPr>
                <w:rFonts w:ascii="Calibri" w:hAnsi="Calibri" w:cs="Calibri"/>
                <w:color w:val="000000"/>
                <w:sz w:val="22"/>
                <w:szCs w:val="22"/>
              </w:rPr>
            </w:pPr>
          </w:p>
        </w:tc>
      </w:tr>
      <w:tr w:rsidR="009C760E" w:rsidRPr="006A39C1" w14:paraId="215A941E" w14:textId="5F724984"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0B0233A" w14:textId="2E85ACF2" w:rsidR="009C760E" w:rsidRPr="006A39C1" w:rsidRDefault="009C760E" w:rsidP="006D35C6">
            <w:pPr>
              <w:jc w:val="right"/>
              <w:rPr>
                <w:rFonts w:ascii="Calibri" w:hAnsi="Calibri" w:cs="Calibri"/>
                <w:color w:val="000000"/>
                <w:sz w:val="22"/>
                <w:szCs w:val="22"/>
              </w:rPr>
            </w:pPr>
            <w:r w:rsidRPr="006A39C1">
              <w:rPr>
                <w:rFonts w:ascii="Calibri" w:hAnsi="Calibri" w:cs="Calibri"/>
                <w:color w:val="000000"/>
                <w:sz w:val="22"/>
                <w:szCs w:val="22"/>
              </w:rPr>
              <w:t> </w:t>
            </w:r>
          </w:p>
        </w:tc>
        <w:tc>
          <w:tcPr>
            <w:tcW w:w="7060" w:type="dxa"/>
            <w:tcBorders>
              <w:top w:val="nil"/>
              <w:left w:val="nil"/>
              <w:bottom w:val="single" w:sz="4" w:space="0" w:color="auto"/>
              <w:right w:val="single" w:sz="4" w:space="0" w:color="auto"/>
            </w:tcBorders>
            <w:shd w:val="clear" w:color="auto" w:fill="auto"/>
            <w:noWrap/>
            <w:vAlign w:val="bottom"/>
          </w:tcPr>
          <w:p w14:paraId="604449ED" w14:textId="789DAF3B" w:rsidR="009C760E" w:rsidRPr="006A39C1" w:rsidRDefault="009C760E" w:rsidP="006D35C6">
            <w:pP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14:paraId="36D4EB7B"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54D2121C"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3E7B2585" w14:textId="77777777" w:rsidR="009C760E" w:rsidRPr="006A39C1" w:rsidRDefault="009C760E" w:rsidP="006D35C6">
            <w:pPr>
              <w:rPr>
                <w:rFonts w:ascii="Calibri" w:hAnsi="Calibri" w:cs="Calibri"/>
                <w:color w:val="000000"/>
                <w:sz w:val="22"/>
                <w:szCs w:val="22"/>
              </w:rPr>
            </w:pPr>
          </w:p>
        </w:tc>
      </w:tr>
      <w:tr w:rsidR="009C760E" w:rsidRPr="006A39C1" w14:paraId="63C41899" w14:textId="155B2D9F" w:rsidTr="009C760E">
        <w:trPr>
          <w:trHeight w:val="300"/>
        </w:trPr>
        <w:tc>
          <w:tcPr>
            <w:tcW w:w="49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AF112D9" w14:textId="4A02E210" w:rsidR="009C760E" w:rsidRPr="006A39C1" w:rsidRDefault="009C760E" w:rsidP="006D35C6">
            <w:pPr>
              <w:rPr>
                <w:rFonts w:ascii="Calibri" w:hAnsi="Calibri" w:cs="Calibri"/>
                <w:color w:val="000000"/>
                <w:sz w:val="22"/>
                <w:szCs w:val="22"/>
              </w:rPr>
            </w:pPr>
            <w:r>
              <w:rPr>
                <w:rFonts w:ascii="Calibri" w:hAnsi="Calibri" w:cs="Calibri"/>
                <w:b/>
                <w:bCs/>
                <w:color w:val="000000"/>
                <w:sz w:val="22"/>
                <w:szCs w:val="22"/>
              </w:rPr>
              <w:t>7</w:t>
            </w:r>
          </w:p>
        </w:tc>
        <w:tc>
          <w:tcPr>
            <w:tcW w:w="7060" w:type="dxa"/>
            <w:tcBorders>
              <w:top w:val="nil"/>
              <w:left w:val="nil"/>
              <w:bottom w:val="single" w:sz="4" w:space="0" w:color="auto"/>
              <w:right w:val="single" w:sz="4" w:space="0" w:color="auto"/>
            </w:tcBorders>
            <w:shd w:val="clear" w:color="auto" w:fill="E2EFD9" w:themeFill="accent6" w:themeFillTint="33"/>
            <w:noWrap/>
            <w:vAlign w:val="bottom"/>
            <w:hideMark/>
          </w:tcPr>
          <w:p w14:paraId="7D6CE166" w14:textId="4147D387" w:rsidR="009C760E" w:rsidRPr="006A39C1" w:rsidRDefault="009C760E" w:rsidP="006D35C6">
            <w:pPr>
              <w:rPr>
                <w:rFonts w:ascii="Calibri" w:hAnsi="Calibri" w:cs="Calibri"/>
                <w:color w:val="000000"/>
                <w:sz w:val="22"/>
                <w:szCs w:val="22"/>
              </w:rPr>
            </w:pPr>
            <w:r w:rsidRPr="006A39C1">
              <w:rPr>
                <w:rFonts w:ascii="Calibri" w:hAnsi="Calibri" w:cs="Calibri"/>
                <w:b/>
                <w:bCs/>
                <w:color w:val="000000"/>
                <w:sz w:val="22"/>
                <w:szCs w:val="22"/>
              </w:rPr>
              <w:t>Language/Format</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55100CB3"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E2EFD9" w:themeFill="accent6" w:themeFillTint="33"/>
          </w:tcPr>
          <w:p w14:paraId="188B2862"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E2EFD9" w:themeFill="accent6" w:themeFillTint="33"/>
          </w:tcPr>
          <w:p w14:paraId="65F1D91E" w14:textId="77777777" w:rsidR="009C760E" w:rsidRPr="006A39C1" w:rsidRDefault="009C760E" w:rsidP="006D35C6">
            <w:pPr>
              <w:rPr>
                <w:rFonts w:ascii="Calibri" w:hAnsi="Calibri" w:cs="Calibri"/>
                <w:color w:val="000000"/>
                <w:sz w:val="22"/>
                <w:szCs w:val="22"/>
              </w:rPr>
            </w:pPr>
          </w:p>
        </w:tc>
      </w:tr>
      <w:tr w:rsidR="009C760E" w:rsidRPr="006A39C1" w14:paraId="3DA4694D" w14:textId="0A23421F"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4F0A329" w14:textId="0F076341" w:rsidR="009C760E" w:rsidRPr="006A39C1" w:rsidRDefault="009C760E" w:rsidP="006D35C6">
            <w:pPr>
              <w:jc w:val="right"/>
              <w:rPr>
                <w:rFonts w:ascii="Calibri" w:hAnsi="Calibri" w:cs="Calibri"/>
                <w:b/>
                <w:bCs/>
                <w:color w:val="000000"/>
                <w:sz w:val="22"/>
                <w:szCs w:val="22"/>
              </w:rPr>
            </w:pPr>
            <w:r>
              <w:rPr>
                <w:rFonts w:ascii="Calibri" w:hAnsi="Calibri" w:cs="Calibri"/>
                <w:color w:val="000000"/>
                <w:sz w:val="22"/>
                <w:szCs w:val="22"/>
              </w:rPr>
              <w:t>7</w:t>
            </w:r>
            <w:r w:rsidRPr="006A39C1">
              <w:rPr>
                <w:rFonts w:ascii="Calibri" w:hAnsi="Calibri" w:cs="Calibri"/>
                <w:color w:val="000000"/>
                <w:sz w:val="22"/>
                <w:szCs w:val="22"/>
              </w:rPr>
              <w:t>.1</w:t>
            </w:r>
          </w:p>
        </w:tc>
        <w:tc>
          <w:tcPr>
            <w:tcW w:w="7060" w:type="dxa"/>
            <w:tcBorders>
              <w:top w:val="nil"/>
              <w:left w:val="nil"/>
              <w:bottom w:val="single" w:sz="4" w:space="0" w:color="auto"/>
              <w:right w:val="single" w:sz="4" w:space="0" w:color="auto"/>
            </w:tcBorders>
            <w:shd w:val="clear" w:color="auto" w:fill="auto"/>
            <w:noWrap/>
            <w:vAlign w:val="center"/>
          </w:tcPr>
          <w:p w14:paraId="4EB04638" w14:textId="7B8AB416" w:rsidR="009C760E" w:rsidRPr="006A39C1" w:rsidRDefault="009C760E" w:rsidP="006D35C6">
            <w:pPr>
              <w:rPr>
                <w:rFonts w:ascii="Calibri" w:hAnsi="Calibri" w:cs="Calibri"/>
                <w:b/>
                <w:bCs/>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he policy use</w:t>
            </w:r>
            <w:r>
              <w:rPr>
                <w:rFonts w:ascii="Calibri" w:hAnsi="Calibri" w:cs="Calibri"/>
                <w:color w:val="000000"/>
                <w:sz w:val="22"/>
                <w:szCs w:val="22"/>
              </w:rPr>
              <w:t>s</w:t>
            </w:r>
            <w:r w:rsidRPr="006A39C1">
              <w:rPr>
                <w:rFonts w:ascii="Calibri" w:hAnsi="Calibri" w:cs="Calibri"/>
                <w:color w:val="000000"/>
                <w:sz w:val="22"/>
                <w:szCs w:val="22"/>
              </w:rPr>
              <w:t xml:space="preserve"> person-centered language (</w:t>
            </w:r>
            <w:r>
              <w:rPr>
                <w:rFonts w:ascii="Calibri" w:hAnsi="Calibri" w:cs="Calibri"/>
                <w:color w:val="000000"/>
                <w:sz w:val="22"/>
                <w:szCs w:val="22"/>
              </w:rPr>
              <w:t>e</w:t>
            </w:r>
            <w:r w:rsidRPr="006A39C1">
              <w:rPr>
                <w:rFonts w:ascii="Calibri" w:hAnsi="Calibri" w:cs="Calibri"/>
                <w:color w:val="000000"/>
                <w:sz w:val="22"/>
                <w:szCs w:val="22"/>
              </w:rPr>
              <w:t>.g., person living with a disability not "handicapped")</w:t>
            </w:r>
            <w:r>
              <w:rPr>
                <w:rFonts w:ascii="Calibri" w:hAnsi="Calibri" w:cs="Calibri"/>
                <w:color w:val="000000"/>
                <w:sz w:val="22"/>
                <w:szCs w:val="22"/>
              </w:rPr>
              <w:t>. S</w:t>
            </w:r>
            <w:r w:rsidRPr="006A39C1">
              <w:rPr>
                <w:rFonts w:ascii="Calibri" w:hAnsi="Calibri" w:cs="Calibri"/>
                <w:color w:val="000000"/>
                <w:sz w:val="22"/>
                <w:szCs w:val="22"/>
              </w:rPr>
              <w:t>ee page 14 for a table of examples</w:t>
            </w:r>
            <w:r>
              <w:rPr>
                <w:rFonts w:ascii="Calibri" w:hAnsi="Calibri" w:cs="Calibri"/>
                <w:color w:val="000000"/>
                <w:sz w:val="22"/>
                <w:szCs w:val="22"/>
              </w:rPr>
              <w:t xml:space="preserve"> </w:t>
            </w:r>
            <w:hyperlink r:id="rId7" w:history="1">
              <w:r w:rsidRPr="00267E72">
                <w:rPr>
                  <w:rStyle w:val="Hyperlink"/>
                  <w:rFonts w:ascii="Calibri" w:hAnsi="Calibri" w:cs="Calibri"/>
                  <w:sz w:val="22"/>
                  <w:szCs w:val="22"/>
                </w:rPr>
                <w:t>here</w:t>
              </w:r>
            </w:hyperlink>
            <w:r>
              <w:rPr>
                <w:rFonts w:ascii="Calibri" w:hAnsi="Calibri" w:cs="Calibri"/>
                <w:color w:val="000000"/>
                <w:sz w:val="22"/>
                <w:szCs w:val="22"/>
              </w:rPr>
              <w:t>.</w:t>
            </w:r>
            <w:r w:rsidRPr="006A39C1">
              <w:rPr>
                <w:rFonts w:ascii="Calibri" w:hAnsi="Calibri" w:cs="Calibri"/>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5B82A297"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5EEC6B06"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05AC5A29" w14:textId="77777777" w:rsidR="009C760E" w:rsidRPr="006A39C1" w:rsidRDefault="009C760E" w:rsidP="006D35C6">
            <w:pPr>
              <w:rPr>
                <w:rFonts w:ascii="Calibri" w:hAnsi="Calibri" w:cs="Calibri"/>
                <w:color w:val="000000"/>
                <w:sz w:val="22"/>
                <w:szCs w:val="22"/>
              </w:rPr>
            </w:pPr>
          </w:p>
        </w:tc>
      </w:tr>
      <w:tr w:rsidR="009C760E" w:rsidRPr="006A39C1" w14:paraId="4F986C7E" w14:textId="400B8187"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7687EC5" w14:textId="6861E3AD" w:rsidR="009C760E" w:rsidRPr="006A39C1" w:rsidRDefault="009C760E" w:rsidP="006D35C6">
            <w:pPr>
              <w:jc w:val="right"/>
              <w:rPr>
                <w:rFonts w:ascii="Calibri" w:hAnsi="Calibri" w:cs="Calibri"/>
                <w:color w:val="000000"/>
                <w:sz w:val="22"/>
                <w:szCs w:val="22"/>
              </w:rPr>
            </w:pPr>
            <w:r>
              <w:rPr>
                <w:rFonts w:ascii="Calibri" w:hAnsi="Calibri" w:cs="Calibri"/>
                <w:color w:val="000000"/>
                <w:sz w:val="22"/>
                <w:szCs w:val="22"/>
              </w:rPr>
              <w:t>7</w:t>
            </w:r>
            <w:r w:rsidRPr="006A39C1">
              <w:rPr>
                <w:rFonts w:ascii="Calibri" w:hAnsi="Calibri" w:cs="Calibri"/>
                <w:color w:val="000000"/>
                <w:sz w:val="22"/>
                <w:szCs w:val="22"/>
              </w:rPr>
              <w:t>.2</w:t>
            </w:r>
          </w:p>
        </w:tc>
        <w:tc>
          <w:tcPr>
            <w:tcW w:w="7060" w:type="dxa"/>
            <w:tcBorders>
              <w:top w:val="nil"/>
              <w:left w:val="nil"/>
              <w:bottom w:val="single" w:sz="4" w:space="0" w:color="auto"/>
              <w:right w:val="single" w:sz="4" w:space="0" w:color="auto"/>
            </w:tcBorders>
            <w:shd w:val="clear" w:color="auto" w:fill="auto"/>
            <w:noWrap/>
            <w:vAlign w:val="center"/>
          </w:tcPr>
          <w:p w14:paraId="2ED43691" w14:textId="132BAC3A" w:rsidR="009C760E" w:rsidRPr="006A39C1" w:rsidRDefault="009C760E" w:rsidP="006D35C6">
            <w:pPr>
              <w:rPr>
                <w:rFonts w:ascii="Calibri" w:hAnsi="Calibri" w:cs="Calibri"/>
                <w:color w:val="000000"/>
                <w:sz w:val="22"/>
                <w:szCs w:val="22"/>
              </w:rPr>
            </w:pPr>
            <w:r>
              <w:rPr>
                <w:rFonts w:ascii="Calibri" w:hAnsi="Calibri" w:cs="Calibri"/>
                <w:color w:val="000000"/>
                <w:sz w:val="22"/>
                <w:szCs w:val="22"/>
              </w:rPr>
              <w:t>T</w:t>
            </w:r>
            <w:r w:rsidRPr="006A39C1">
              <w:rPr>
                <w:rFonts w:ascii="Calibri" w:hAnsi="Calibri" w:cs="Calibri"/>
                <w:color w:val="000000"/>
                <w:sz w:val="22"/>
                <w:szCs w:val="22"/>
              </w:rPr>
              <w:t>he policy use</w:t>
            </w:r>
            <w:r>
              <w:rPr>
                <w:rFonts w:ascii="Calibri" w:hAnsi="Calibri" w:cs="Calibri"/>
                <w:color w:val="000000"/>
                <w:sz w:val="22"/>
                <w:szCs w:val="22"/>
              </w:rPr>
              <w:t>s</w:t>
            </w:r>
            <w:r w:rsidRPr="006A39C1">
              <w:rPr>
                <w:rFonts w:ascii="Calibri" w:hAnsi="Calibri" w:cs="Calibri"/>
                <w:color w:val="000000"/>
                <w:sz w:val="22"/>
                <w:szCs w:val="22"/>
              </w:rPr>
              <w:t xml:space="preserve"> inclusive language</w:t>
            </w:r>
            <w:r>
              <w:rPr>
                <w:rFonts w:ascii="Calibri" w:hAnsi="Calibri" w:cs="Calibri"/>
                <w:color w:val="000000"/>
                <w:sz w:val="22"/>
                <w:szCs w:val="22"/>
              </w:rPr>
              <w:t>.</w:t>
            </w:r>
            <w:r w:rsidRPr="006A39C1">
              <w:rPr>
                <w:rFonts w:ascii="Calibri" w:hAnsi="Calibri" w:cs="Calibri"/>
                <w:color w:val="000000"/>
                <w:sz w:val="22"/>
                <w:szCs w:val="22"/>
              </w:rPr>
              <w:t xml:space="preserve"> (E.g., they/them not he/she)</w:t>
            </w:r>
            <w:r>
              <w:rPr>
                <w:rFonts w:ascii="Calibri" w:hAnsi="Calibri" w:cs="Calibri"/>
                <w:color w:val="000000"/>
                <w:sz w:val="22"/>
                <w:szCs w:val="22"/>
              </w:rPr>
              <w:t>.</w:t>
            </w:r>
            <w:r w:rsidRPr="006A39C1">
              <w:rPr>
                <w:rFonts w:ascii="Calibri" w:hAnsi="Calibri" w:cs="Calibri"/>
                <w:color w:val="000000"/>
                <w:sz w:val="22"/>
                <w:szCs w:val="22"/>
              </w:rPr>
              <w:t xml:space="preserve"> </w:t>
            </w:r>
            <w:r>
              <w:rPr>
                <w:rFonts w:ascii="Calibri" w:hAnsi="Calibri" w:cs="Calibri"/>
                <w:color w:val="000000"/>
                <w:sz w:val="22"/>
                <w:szCs w:val="22"/>
              </w:rPr>
              <w:t>S</w:t>
            </w:r>
            <w:r w:rsidRPr="006A39C1">
              <w:rPr>
                <w:rFonts w:ascii="Calibri" w:hAnsi="Calibri" w:cs="Calibri"/>
                <w:color w:val="000000"/>
                <w:sz w:val="22"/>
                <w:szCs w:val="22"/>
              </w:rPr>
              <w:t>ee also https://www.apa.org/about/apa/equity-diversity-inclusion/language-guidelines.pdf</w:t>
            </w:r>
          </w:p>
        </w:tc>
        <w:tc>
          <w:tcPr>
            <w:tcW w:w="1080" w:type="dxa"/>
            <w:tcBorders>
              <w:top w:val="nil"/>
              <w:left w:val="nil"/>
              <w:bottom w:val="single" w:sz="4" w:space="0" w:color="auto"/>
              <w:right w:val="single" w:sz="4" w:space="0" w:color="auto"/>
            </w:tcBorders>
            <w:shd w:val="clear" w:color="auto" w:fill="auto"/>
            <w:noWrap/>
            <w:vAlign w:val="bottom"/>
            <w:hideMark/>
          </w:tcPr>
          <w:p w14:paraId="1E3E1AD7"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60A15AB2"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1474FF72" w14:textId="77777777" w:rsidR="009C760E" w:rsidRPr="006A39C1" w:rsidRDefault="009C760E" w:rsidP="006D35C6">
            <w:pPr>
              <w:rPr>
                <w:rFonts w:ascii="Calibri" w:hAnsi="Calibri" w:cs="Calibri"/>
                <w:color w:val="000000"/>
                <w:sz w:val="22"/>
                <w:szCs w:val="22"/>
              </w:rPr>
            </w:pPr>
          </w:p>
        </w:tc>
      </w:tr>
      <w:tr w:rsidR="009C760E" w:rsidRPr="006A39C1" w14:paraId="058712C7" w14:textId="6778855D" w:rsidTr="009C760E">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586F511" w14:textId="0DB4B86E" w:rsidR="009C760E" w:rsidRPr="006A39C1" w:rsidRDefault="009C760E" w:rsidP="006D35C6">
            <w:pPr>
              <w:jc w:val="center"/>
              <w:rPr>
                <w:rFonts w:ascii="Calibri" w:hAnsi="Calibri" w:cs="Calibri"/>
                <w:color w:val="000000"/>
                <w:sz w:val="22"/>
                <w:szCs w:val="22"/>
              </w:rPr>
            </w:pPr>
          </w:p>
        </w:tc>
        <w:tc>
          <w:tcPr>
            <w:tcW w:w="7060" w:type="dxa"/>
            <w:tcBorders>
              <w:top w:val="nil"/>
              <w:left w:val="nil"/>
              <w:bottom w:val="single" w:sz="4" w:space="0" w:color="auto"/>
              <w:right w:val="single" w:sz="4" w:space="0" w:color="auto"/>
            </w:tcBorders>
            <w:shd w:val="clear" w:color="auto" w:fill="auto"/>
            <w:noWrap/>
            <w:vAlign w:val="center"/>
          </w:tcPr>
          <w:p w14:paraId="4574581B" w14:textId="20D3C5F9" w:rsidR="009C760E" w:rsidRPr="006A39C1" w:rsidRDefault="009C760E" w:rsidP="006D35C6">
            <w:pPr>
              <w:rPr>
                <w:rFonts w:ascii="Calibri" w:hAnsi="Calibri" w:cs="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14:paraId="1B64CFDD" w14:textId="77777777" w:rsidR="009C760E" w:rsidRPr="006A39C1" w:rsidRDefault="009C760E" w:rsidP="006D35C6">
            <w:pPr>
              <w:rPr>
                <w:rFonts w:ascii="Calibri" w:hAnsi="Calibri" w:cs="Calibri"/>
                <w:color w:val="000000"/>
                <w:sz w:val="22"/>
                <w:szCs w:val="22"/>
              </w:rPr>
            </w:pPr>
            <w:r w:rsidRPr="006A39C1">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tcPr>
          <w:p w14:paraId="7B5634F6" w14:textId="77777777" w:rsidR="009C760E" w:rsidRPr="006A39C1" w:rsidRDefault="009C760E" w:rsidP="006D35C6">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tcPr>
          <w:p w14:paraId="15A12F88" w14:textId="77777777" w:rsidR="009C760E" w:rsidRPr="006A39C1" w:rsidRDefault="009C760E" w:rsidP="006D35C6">
            <w:pPr>
              <w:rPr>
                <w:rFonts w:ascii="Calibri" w:hAnsi="Calibri" w:cs="Calibri"/>
                <w:color w:val="000000"/>
                <w:sz w:val="22"/>
                <w:szCs w:val="22"/>
              </w:rPr>
            </w:pPr>
          </w:p>
        </w:tc>
      </w:tr>
    </w:tbl>
    <w:p w14:paraId="6B263BD2" w14:textId="77777777" w:rsidR="003F540D" w:rsidRDefault="003F540D" w:rsidP="00E60214"/>
    <w:sectPr w:rsidR="003F540D" w:rsidSect="008A34E1">
      <w:pgSz w:w="15840" w:h="12240" w:orient="landscape"/>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C1"/>
    <w:rsid w:val="00154881"/>
    <w:rsid w:val="001B1641"/>
    <w:rsid w:val="002061CE"/>
    <w:rsid w:val="00267E72"/>
    <w:rsid w:val="003044B6"/>
    <w:rsid w:val="00357A3C"/>
    <w:rsid w:val="00365088"/>
    <w:rsid w:val="003F540D"/>
    <w:rsid w:val="004B19CC"/>
    <w:rsid w:val="004B4F74"/>
    <w:rsid w:val="006A39C1"/>
    <w:rsid w:val="006C0931"/>
    <w:rsid w:val="006D35C6"/>
    <w:rsid w:val="0070712A"/>
    <w:rsid w:val="007B6486"/>
    <w:rsid w:val="00835F82"/>
    <w:rsid w:val="008A34E1"/>
    <w:rsid w:val="00924F4C"/>
    <w:rsid w:val="00957718"/>
    <w:rsid w:val="009C760E"/>
    <w:rsid w:val="00A441F0"/>
    <w:rsid w:val="00A86C69"/>
    <w:rsid w:val="00AA0382"/>
    <w:rsid w:val="00AB7F5A"/>
    <w:rsid w:val="00B5489A"/>
    <w:rsid w:val="00D41555"/>
    <w:rsid w:val="00D6176B"/>
    <w:rsid w:val="00DE17C5"/>
    <w:rsid w:val="00E4478B"/>
    <w:rsid w:val="00E60214"/>
    <w:rsid w:val="00EA2FE8"/>
    <w:rsid w:val="00EF60D8"/>
    <w:rsid w:val="00F6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EF99"/>
  <w15:chartTrackingRefBased/>
  <w15:docId w15:val="{FD7D10E3-2F71-154F-9754-54E4015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78B"/>
    <w:rPr>
      <w:rFonts w:asciiTheme="majorHAnsi" w:hAnsiTheme="majorHAnsi" w:cs="Times New Roman"/>
      <w:color w:val="000000" w:themeColor="text1"/>
      <w:kern w:val="0"/>
      <w:sz w:val="20"/>
      <w14:ligatures w14:val="none"/>
    </w:rPr>
  </w:style>
  <w:style w:type="paragraph" w:styleId="Heading1">
    <w:name w:val="heading 1"/>
    <w:basedOn w:val="Normal"/>
    <w:next w:val="Normal"/>
    <w:link w:val="Heading1Char"/>
    <w:autoRedefine/>
    <w:uiPriority w:val="9"/>
    <w:qFormat/>
    <w:rsid w:val="00E4478B"/>
    <w:pPr>
      <w:pBdr>
        <w:top w:val="single" w:sz="12" w:space="1" w:color="44546A" w:themeColor="text2"/>
        <w:left w:val="single" w:sz="12" w:space="4" w:color="44546A" w:themeColor="text2"/>
        <w:bottom w:val="single" w:sz="12" w:space="1" w:color="44546A" w:themeColor="text2"/>
        <w:right w:val="single" w:sz="12" w:space="4" w:color="44546A" w:themeColor="text2"/>
      </w:pBdr>
      <w:shd w:val="clear" w:color="auto" w:fill="44546A" w:themeFill="text2"/>
      <w:spacing w:before="240" w:after="240"/>
      <w:outlineLvl w:val="0"/>
    </w:pPr>
    <w:rPr>
      <w:color w:val="FFFFFF"/>
      <w:kern w:val="2"/>
      <w:sz w:val="28"/>
      <w:szCs w:val="38"/>
      <w14:ligatures w14:val="standardContextual"/>
    </w:rPr>
  </w:style>
  <w:style w:type="paragraph" w:styleId="Heading2">
    <w:name w:val="heading 2"/>
    <w:basedOn w:val="Normal"/>
    <w:next w:val="Normal"/>
    <w:link w:val="Heading2Char"/>
    <w:autoRedefine/>
    <w:uiPriority w:val="9"/>
    <w:unhideWhenUsed/>
    <w:qFormat/>
    <w:rsid w:val="00E4478B"/>
    <w:pPr>
      <w:spacing w:before="200" w:after="60"/>
      <w:contextualSpacing/>
      <w:outlineLvl w:val="1"/>
    </w:pPr>
    <w:rPr>
      <w:rFonts w:eastAsiaTheme="majorEastAsia" w:cs="Times New Roman (Headings CS)"/>
      <w:b/>
      <w:bCs/>
      <w:outline/>
      <w:color w:val="44546A" w:themeColor="text2"/>
      <w:kern w:val="2"/>
      <w:sz w:val="34"/>
      <w:szCs w:val="34"/>
      <w14:textOutline w14:w="9525" w14:cap="flat" w14:cmpd="sng" w14:algn="ctr">
        <w14:solidFill>
          <w14:schemeClr w14:val="accent1">
            <w14:lumMod w14:val="75000"/>
          </w14:schemeClr>
        </w14:solidFill>
        <w14:prstDash w14:val="solid"/>
        <w14:round/>
      </w14:textOutline>
      <w14:ligatures w14:val="standardContextual"/>
    </w:rPr>
  </w:style>
  <w:style w:type="paragraph" w:styleId="Heading3">
    <w:name w:val="heading 3"/>
    <w:basedOn w:val="Normal"/>
    <w:next w:val="Normal"/>
    <w:link w:val="Heading3Char"/>
    <w:autoRedefine/>
    <w:uiPriority w:val="9"/>
    <w:unhideWhenUsed/>
    <w:qFormat/>
    <w:rsid w:val="00E4478B"/>
    <w:pPr>
      <w:pBdr>
        <w:top w:val="single" w:sz="6" w:space="2" w:color="2B2F65"/>
        <w:left w:val="single" w:sz="6" w:space="2" w:color="2B2F65"/>
      </w:pBdr>
      <w:spacing w:before="240" w:line="276" w:lineRule="auto"/>
      <w:outlineLvl w:val="2"/>
    </w:pPr>
    <w:rPr>
      <w:rFonts w:ascii="Calibri Light" w:eastAsiaTheme="minorHAnsi" w:hAnsi="Calibri Light" w:cs="Calibri Light"/>
      <w:caps/>
      <w:noProof/>
      <w:color w:val="2B2F65"/>
      <w:spacing w:val="15"/>
      <w:kern w:val="2"/>
      <w14:ligatures w14:val="standardContextual"/>
    </w:rPr>
  </w:style>
  <w:style w:type="paragraph" w:styleId="Heading4">
    <w:name w:val="heading 4"/>
    <w:basedOn w:val="Normal"/>
    <w:next w:val="Normal"/>
    <w:link w:val="Heading4Char"/>
    <w:autoRedefine/>
    <w:uiPriority w:val="9"/>
    <w:unhideWhenUsed/>
    <w:qFormat/>
    <w:rsid w:val="00E4478B"/>
    <w:pPr>
      <w:pBdr>
        <w:top w:val="dotted" w:sz="6" w:space="2" w:color="8496B0" w:themeColor="text2" w:themeTint="99"/>
        <w:left w:val="dotted" w:sz="6" w:space="2" w:color="8496B0" w:themeColor="text2" w:themeTint="99"/>
      </w:pBdr>
      <w:spacing w:before="120" w:line="276" w:lineRule="auto"/>
      <w:outlineLvl w:val="3"/>
    </w:pPr>
    <w:rPr>
      <w:rFonts w:ascii="Calibri Light" w:eastAsiaTheme="minorHAnsi" w:hAnsi="Calibri Light" w:cs="Calibri Light"/>
      <w:caps/>
      <w:color w:val="8496B0" w:themeColor="text2" w:themeTint="99"/>
      <w:spacing w:val="10"/>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154881"/>
    <w:rPr>
      <w:b/>
      <w:bCs/>
      <w:caps/>
      <w:color w:val="7B7B7B" w:themeColor="accent3" w:themeShade="BF"/>
      <w:spacing w:val="10"/>
    </w:rPr>
  </w:style>
  <w:style w:type="character" w:customStyle="1" w:styleId="Heading3Char">
    <w:name w:val="Heading 3 Char"/>
    <w:basedOn w:val="DefaultParagraphFont"/>
    <w:link w:val="Heading3"/>
    <w:uiPriority w:val="9"/>
    <w:rsid w:val="00E4478B"/>
    <w:rPr>
      <w:rFonts w:ascii="Calibri Light" w:hAnsi="Calibri Light" w:cs="Calibri Light"/>
      <w:caps/>
      <w:noProof/>
      <w:color w:val="2B2F65"/>
      <w:spacing w:val="15"/>
      <w:sz w:val="20"/>
    </w:rPr>
  </w:style>
  <w:style w:type="paragraph" w:customStyle="1" w:styleId="Title2">
    <w:name w:val="Title2"/>
    <w:basedOn w:val="Title"/>
    <w:autoRedefine/>
    <w:qFormat/>
    <w:rsid w:val="00E4478B"/>
    <w:pPr>
      <w:spacing w:after="120" w:line="276" w:lineRule="auto"/>
      <w:contextualSpacing w:val="0"/>
      <w:jc w:val="center"/>
    </w:pPr>
    <w:rPr>
      <w:rFonts w:ascii="Calibri Light" w:eastAsiaTheme="minorEastAsia" w:hAnsi="Calibri Light" w:cs="Calibri Light"/>
      <w:caps/>
      <w:color w:val="2B2F65"/>
      <w:spacing w:val="10"/>
      <w:sz w:val="48"/>
      <w:szCs w:val="48"/>
    </w:rPr>
  </w:style>
  <w:style w:type="paragraph" w:styleId="Title">
    <w:name w:val="Title"/>
    <w:basedOn w:val="Normal"/>
    <w:next w:val="Normal"/>
    <w:link w:val="TitleChar"/>
    <w:uiPriority w:val="10"/>
    <w:qFormat/>
    <w:rsid w:val="00E4478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447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478B"/>
    <w:rPr>
      <w:rFonts w:asciiTheme="majorHAnsi" w:eastAsia="Times New Roman" w:hAnsiTheme="majorHAnsi" w:cs="Times New Roman"/>
      <w:color w:val="FFFFFF"/>
      <w:sz w:val="28"/>
      <w:szCs w:val="38"/>
      <w:shd w:val="clear" w:color="auto" w:fill="44546A" w:themeFill="text2"/>
    </w:rPr>
  </w:style>
  <w:style w:type="character" w:customStyle="1" w:styleId="Heading2Char">
    <w:name w:val="Heading 2 Char"/>
    <w:basedOn w:val="DefaultParagraphFont"/>
    <w:link w:val="Heading2"/>
    <w:uiPriority w:val="9"/>
    <w:rsid w:val="00E4478B"/>
    <w:rPr>
      <w:rFonts w:asciiTheme="majorHAnsi" w:eastAsiaTheme="majorEastAsia" w:hAnsiTheme="majorHAnsi" w:cs="Times New Roman (Headings CS)"/>
      <w:b/>
      <w:bCs/>
      <w:outline/>
      <w:color w:val="44546A" w:themeColor="text2"/>
      <w:sz w:val="34"/>
      <w:szCs w:val="34"/>
      <w14:textOutline w14:w="9525" w14:cap="flat" w14:cmpd="sng" w14:algn="ctr">
        <w14:solidFill>
          <w14:schemeClr w14:val="accent1">
            <w14:lumMod w14:val="75000"/>
          </w14:schemeClr>
        </w14:solidFill>
        <w14:prstDash w14:val="solid"/>
        <w14:round/>
      </w14:textOutline>
    </w:rPr>
  </w:style>
  <w:style w:type="character" w:customStyle="1" w:styleId="Heading4Char">
    <w:name w:val="Heading 4 Char"/>
    <w:basedOn w:val="DefaultParagraphFont"/>
    <w:link w:val="Heading4"/>
    <w:uiPriority w:val="9"/>
    <w:rsid w:val="00E4478B"/>
    <w:rPr>
      <w:rFonts w:ascii="Calibri Light" w:hAnsi="Calibri Light" w:cs="Calibri Light"/>
      <w:caps/>
      <w:color w:val="8496B0" w:themeColor="text2" w:themeTint="99"/>
      <w:spacing w:val="10"/>
      <w:sz w:val="20"/>
    </w:rPr>
  </w:style>
  <w:style w:type="paragraph" w:styleId="Subtitle">
    <w:name w:val="Subtitle"/>
    <w:basedOn w:val="Normal"/>
    <w:next w:val="Normal"/>
    <w:link w:val="SubtitleChar"/>
    <w:autoRedefine/>
    <w:uiPriority w:val="11"/>
    <w:qFormat/>
    <w:rsid w:val="00E4478B"/>
    <w:rPr>
      <w:rFonts w:ascii="Calibri Light" w:eastAsiaTheme="minorHAnsi" w:hAnsi="Calibri Light" w:cs="Calibri Light"/>
      <w:b/>
      <w:color w:val="A5A5A5" w:themeColor="accent3"/>
      <w:spacing w:val="10"/>
      <w:kern w:val="2"/>
      <w:sz w:val="24"/>
      <w:szCs w:val="20"/>
      <w14:ligatures w14:val="standardContextual"/>
    </w:rPr>
  </w:style>
  <w:style w:type="character" w:customStyle="1" w:styleId="SubtitleChar">
    <w:name w:val="Subtitle Char"/>
    <w:basedOn w:val="DefaultParagraphFont"/>
    <w:link w:val="Subtitle"/>
    <w:uiPriority w:val="11"/>
    <w:rsid w:val="00E4478B"/>
    <w:rPr>
      <w:rFonts w:ascii="Calibri Light" w:hAnsi="Calibri Light" w:cs="Calibri Light"/>
      <w:b/>
      <w:color w:val="A5A5A5" w:themeColor="accent3"/>
      <w:spacing w:val="10"/>
      <w:szCs w:val="20"/>
    </w:rPr>
  </w:style>
  <w:style w:type="paragraph" w:styleId="Revision">
    <w:name w:val="Revision"/>
    <w:hidden/>
    <w:uiPriority w:val="99"/>
    <w:semiHidden/>
    <w:rsid w:val="00B5489A"/>
    <w:rPr>
      <w:rFonts w:asciiTheme="majorHAnsi" w:hAnsiTheme="majorHAnsi" w:cs="Times New Roman"/>
      <w:color w:val="000000" w:themeColor="text1"/>
      <w:kern w:val="0"/>
      <w:sz w:val="20"/>
      <w14:ligatures w14:val="none"/>
    </w:rPr>
  </w:style>
  <w:style w:type="character" w:styleId="CommentReference">
    <w:name w:val="annotation reference"/>
    <w:basedOn w:val="DefaultParagraphFont"/>
    <w:uiPriority w:val="99"/>
    <w:semiHidden/>
    <w:unhideWhenUsed/>
    <w:rsid w:val="00B5489A"/>
    <w:rPr>
      <w:sz w:val="16"/>
      <w:szCs w:val="16"/>
    </w:rPr>
  </w:style>
  <w:style w:type="paragraph" w:styleId="CommentText">
    <w:name w:val="annotation text"/>
    <w:basedOn w:val="Normal"/>
    <w:link w:val="CommentTextChar"/>
    <w:uiPriority w:val="99"/>
    <w:semiHidden/>
    <w:unhideWhenUsed/>
    <w:rsid w:val="00B5489A"/>
    <w:rPr>
      <w:szCs w:val="20"/>
    </w:rPr>
  </w:style>
  <w:style w:type="character" w:customStyle="1" w:styleId="CommentTextChar">
    <w:name w:val="Comment Text Char"/>
    <w:basedOn w:val="DefaultParagraphFont"/>
    <w:link w:val="CommentText"/>
    <w:uiPriority w:val="99"/>
    <w:semiHidden/>
    <w:rsid w:val="00B5489A"/>
    <w:rPr>
      <w:rFonts w:asciiTheme="majorHAnsi" w:hAnsiTheme="majorHAnsi" w:cs="Times New Roman"/>
      <w:color w:val="000000" w:themeColor="text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5489A"/>
    <w:rPr>
      <w:b/>
      <w:bCs/>
    </w:rPr>
  </w:style>
  <w:style w:type="character" w:customStyle="1" w:styleId="CommentSubjectChar">
    <w:name w:val="Comment Subject Char"/>
    <w:basedOn w:val="CommentTextChar"/>
    <w:link w:val="CommentSubject"/>
    <w:uiPriority w:val="99"/>
    <w:semiHidden/>
    <w:rsid w:val="00B5489A"/>
    <w:rPr>
      <w:rFonts w:asciiTheme="majorHAnsi" w:hAnsiTheme="majorHAnsi" w:cs="Times New Roman"/>
      <w:b/>
      <w:bCs/>
      <w:color w:val="000000" w:themeColor="text1"/>
      <w:kern w:val="0"/>
      <w:sz w:val="20"/>
      <w:szCs w:val="20"/>
      <w14:ligatures w14:val="none"/>
    </w:rPr>
  </w:style>
  <w:style w:type="character" w:styleId="Hyperlink">
    <w:name w:val="Hyperlink"/>
    <w:basedOn w:val="DefaultParagraphFont"/>
    <w:uiPriority w:val="99"/>
    <w:unhideWhenUsed/>
    <w:rsid w:val="007B6486"/>
    <w:rPr>
      <w:color w:val="0563C1" w:themeColor="hyperlink"/>
      <w:u w:val="single"/>
    </w:rPr>
  </w:style>
  <w:style w:type="character" w:styleId="UnresolvedMention">
    <w:name w:val="Unresolved Mention"/>
    <w:basedOn w:val="DefaultParagraphFont"/>
    <w:uiPriority w:val="99"/>
    <w:semiHidden/>
    <w:unhideWhenUsed/>
    <w:rsid w:val="007B6486"/>
    <w:rPr>
      <w:color w:val="605E5C"/>
      <w:shd w:val="clear" w:color="auto" w:fill="E1DFDD"/>
    </w:rPr>
  </w:style>
  <w:style w:type="paragraph" w:styleId="NoSpacing">
    <w:name w:val="No Spacing"/>
    <w:link w:val="NoSpacingChar"/>
    <w:uiPriority w:val="1"/>
    <w:qFormat/>
    <w:rsid w:val="00DE17C5"/>
    <w:rPr>
      <w:rFonts w:eastAsiaTheme="minorEastAsia"/>
      <w:kern w:val="0"/>
      <w:sz w:val="22"/>
      <w:szCs w:val="22"/>
      <w14:ligatures w14:val="none"/>
    </w:rPr>
  </w:style>
  <w:style w:type="character" w:customStyle="1" w:styleId="NoSpacingChar">
    <w:name w:val="No Spacing Char"/>
    <w:basedOn w:val="DefaultParagraphFont"/>
    <w:link w:val="NoSpacing"/>
    <w:uiPriority w:val="1"/>
    <w:rsid w:val="00DE17C5"/>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1555">
      <w:bodyDiv w:val="1"/>
      <w:marLeft w:val="0"/>
      <w:marRight w:val="0"/>
      <w:marTop w:val="0"/>
      <w:marBottom w:val="0"/>
      <w:divBdr>
        <w:top w:val="none" w:sz="0" w:space="0" w:color="auto"/>
        <w:left w:val="none" w:sz="0" w:space="0" w:color="auto"/>
        <w:bottom w:val="none" w:sz="0" w:space="0" w:color="auto"/>
        <w:right w:val="none" w:sz="0" w:space="0" w:color="auto"/>
      </w:divBdr>
    </w:div>
    <w:div w:id="416755017">
      <w:bodyDiv w:val="1"/>
      <w:marLeft w:val="0"/>
      <w:marRight w:val="0"/>
      <w:marTop w:val="0"/>
      <w:marBottom w:val="0"/>
      <w:divBdr>
        <w:top w:val="none" w:sz="0" w:space="0" w:color="auto"/>
        <w:left w:val="none" w:sz="0" w:space="0" w:color="auto"/>
        <w:bottom w:val="none" w:sz="0" w:space="0" w:color="auto"/>
        <w:right w:val="none" w:sz="0" w:space="0" w:color="auto"/>
      </w:divBdr>
    </w:div>
    <w:div w:id="21374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about/apa/equity-diversity-inclusion/language-guid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ccs.edu/about/miss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rubric is designed to assess university research-related guidelines, processes, and policies through an intersectional lens, evaluating their alignment with 7 principles identified by the A.C.E. (O’Meara et al., 2022) and including an Intersectionality-Based Policy Analysis (IBPA) Framework (Hankivsky et al., 2014) to ensure the benefits, impact, and accountability are not creating unintended harm, exacerbating invisibilities, or privileging specific vectors of power (Hull et al., 2023).  This checklist is for evaluating policies to ensure that they promote fairness, openness, inclusivity, and recognize the complexities of intersecting identities within the academic community.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402</Words>
  <Characters>2336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Intersectional Policy Audit Tool</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Intersectional Policy Audit Tool</dc:title>
  <dc:subject/>
  <dc:creator>Project CREST</dc:creator>
  <cp:keywords/>
  <dc:description/>
  <cp:lastModifiedBy>Jennifer Poe</cp:lastModifiedBy>
  <cp:revision>5</cp:revision>
  <dcterms:created xsi:type="dcterms:W3CDTF">2024-04-22T22:25:00Z</dcterms:created>
  <dcterms:modified xsi:type="dcterms:W3CDTF">2024-04-26T15:25:00Z</dcterms:modified>
</cp:coreProperties>
</file>